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49F97CE" w14:textId="4EB3E353" w:rsidR="00D8396D" w:rsidRDefault="00D474E6">
      <w:pPr>
        <w:spacing w:line="360" w:lineRule="auto"/>
        <w:jc w:val="center"/>
        <w:rPr>
          <w:rFonts w:ascii="Arial" w:eastAsia="Arial" w:hAnsi="Arial" w:cs="Arial"/>
        </w:rPr>
      </w:pPr>
      <w:bookmarkStart w:id="0" w:name="_GoBack"/>
      <w:bookmarkEnd w:id="0"/>
      <w:r>
        <w:rPr>
          <w:rFonts w:ascii="Arial" w:eastAsia="Arial" w:hAnsi="Arial" w:cs="Arial"/>
          <w:b/>
        </w:rPr>
        <w:t>SOIL PROPERTIES AND NEIGHBORING FOREST COVER AFFECT ABOVEGROUND BIOMASS AND FUNCTIONAL COMPOSITION DURING TROPICAL FOREST RESTORATION</w:t>
      </w:r>
    </w:p>
    <w:p w14:paraId="698F77E0" w14:textId="77777777" w:rsidR="00D8396D" w:rsidRDefault="00D8396D">
      <w:pPr>
        <w:spacing w:after="0" w:line="360" w:lineRule="auto"/>
        <w:jc w:val="right"/>
        <w:rPr>
          <w:rFonts w:ascii="Arial" w:eastAsia="Arial" w:hAnsi="Arial" w:cs="Arial"/>
        </w:rPr>
      </w:pPr>
    </w:p>
    <w:p w14:paraId="3FF6B580" w14:textId="77777777" w:rsidR="00D8396D" w:rsidRDefault="00D474E6">
      <w:pPr>
        <w:spacing w:after="0" w:line="360" w:lineRule="auto"/>
        <w:jc w:val="right"/>
        <w:rPr>
          <w:rFonts w:ascii="Arial" w:eastAsia="Arial" w:hAnsi="Arial" w:cs="Arial"/>
        </w:rPr>
      </w:pPr>
      <w:r>
        <w:rPr>
          <w:rFonts w:ascii="Arial" w:eastAsia="Arial" w:hAnsi="Arial" w:cs="Arial"/>
        </w:rPr>
        <w:t xml:space="preserve">Toledo, R. M. (Corresponding author, 1977rmt@gmail.com) </w:t>
      </w:r>
      <w:r>
        <w:rPr>
          <w:rFonts w:ascii="Arial" w:eastAsia="Arial" w:hAnsi="Arial" w:cs="Arial"/>
          <w:vertAlign w:val="superscript"/>
        </w:rPr>
        <w:t>1, 2</w:t>
      </w:r>
    </w:p>
    <w:p w14:paraId="769DC344" w14:textId="77777777" w:rsidR="00D8396D" w:rsidRPr="00861BCF" w:rsidRDefault="00D474E6">
      <w:pPr>
        <w:spacing w:after="0" w:line="360" w:lineRule="auto"/>
        <w:jc w:val="right"/>
        <w:rPr>
          <w:rFonts w:ascii="Arial" w:eastAsia="Arial" w:hAnsi="Arial" w:cs="Arial"/>
          <w:lang w:val="pt-BR"/>
        </w:rPr>
      </w:pPr>
      <w:r w:rsidRPr="00861BCF">
        <w:rPr>
          <w:rFonts w:ascii="Arial" w:eastAsia="Arial" w:hAnsi="Arial" w:cs="Arial"/>
          <w:lang w:val="pt-BR"/>
        </w:rPr>
        <w:t xml:space="preserve">Santos, R.F.(rozefs@ib.usp.br) </w:t>
      </w:r>
      <w:r w:rsidRPr="00861BCF">
        <w:rPr>
          <w:rFonts w:ascii="Arial" w:eastAsia="Arial" w:hAnsi="Arial" w:cs="Arial"/>
          <w:vertAlign w:val="superscript"/>
          <w:lang w:val="pt-BR"/>
        </w:rPr>
        <w:t>1</w:t>
      </w:r>
    </w:p>
    <w:p w14:paraId="1D590AC1" w14:textId="77777777" w:rsidR="00D8396D" w:rsidRDefault="00D474E6">
      <w:pPr>
        <w:spacing w:after="0" w:line="360" w:lineRule="auto"/>
        <w:jc w:val="right"/>
        <w:rPr>
          <w:rFonts w:ascii="Arial" w:eastAsia="Arial" w:hAnsi="Arial" w:cs="Arial"/>
        </w:rPr>
      </w:pPr>
      <w:r>
        <w:rPr>
          <w:rFonts w:ascii="Arial" w:eastAsia="Arial" w:hAnsi="Arial" w:cs="Arial"/>
        </w:rPr>
        <w:t xml:space="preserve">Baeten, L. (Lander.Baeten@ugent.be) </w:t>
      </w:r>
      <w:r>
        <w:rPr>
          <w:rFonts w:ascii="Arial" w:eastAsia="Arial" w:hAnsi="Arial" w:cs="Arial"/>
          <w:vertAlign w:val="superscript"/>
        </w:rPr>
        <w:t>2</w:t>
      </w:r>
    </w:p>
    <w:p w14:paraId="7BFE5C1C" w14:textId="77777777" w:rsidR="00D8396D" w:rsidRDefault="00D474E6">
      <w:pPr>
        <w:spacing w:after="0" w:line="360" w:lineRule="auto"/>
        <w:jc w:val="right"/>
        <w:rPr>
          <w:rFonts w:ascii="Arial" w:eastAsia="Arial" w:hAnsi="Arial" w:cs="Arial"/>
        </w:rPr>
      </w:pPr>
      <w:r>
        <w:rPr>
          <w:rFonts w:ascii="Arial" w:eastAsia="Arial" w:hAnsi="Arial" w:cs="Arial"/>
        </w:rPr>
        <w:t xml:space="preserve">Perring, M. P. (michael.perring@uwa.edu.au) </w:t>
      </w:r>
      <w:r>
        <w:rPr>
          <w:rFonts w:ascii="Arial" w:eastAsia="Arial" w:hAnsi="Arial" w:cs="Arial"/>
          <w:vertAlign w:val="superscript"/>
        </w:rPr>
        <w:t>2, 3</w:t>
      </w:r>
    </w:p>
    <w:p w14:paraId="6820A1BE" w14:textId="77777777" w:rsidR="00D8396D" w:rsidRDefault="00D474E6">
      <w:pPr>
        <w:spacing w:line="360" w:lineRule="auto"/>
        <w:jc w:val="right"/>
        <w:rPr>
          <w:rFonts w:ascii="Arial" w:eastAsia="Arial" w:hAnsi="Arial" w:cs="Arial"/>
        </w:rPr>
      </w:pPr>
      <w:r>
        <w:rPr>
          <w:rFonts w:ascii="Arial" w:eastAsia="Arial" w:hAnsi="Arial" w:cs="Arial"/>
        </w:rPr>
        <w:t xml:space="preserve">Verheyen, K. (Kris.Verheyen@ugent.be) </w:t>
      </w:r>
      <w:r>
        <w:rPr>
          <w:rFonts w:ascii="Arial" w:eastAsia="Arial" w:hAnsi="Arial" w:cs="Arial"/>
          <w:vertAlign w:val="superscript"/>
        </w:rPr>
        <w:t>2</w:t>
      </w:r>
    </w:p>
    <w:p w14:paraId="46E9F4BA" w14:textId="77777777" w:rsidR="00D8396D" w:rsidRPr="00861BCF" w:rsidRDefault="00D474E6">
      <w:pPr>
        <w:spacing w:before="240" w:after="0" w:line="360" w:lineRule="auto"/>
        <w:jc w:val="left"/>
        <w:rPr>
          <w:rFonts w:ascii="Arial" w:eastAsia="Arial" w:hAnsi="Arial" w:cs="Arial"/>
          <w:lang w:val="pt-BR"/>
        </w:rPr>
      </w:pPr>
      <w:bookmarkStart w:id="1" w:name="_gjdgxs" w:colFirst="0" w:colLast="0"/>
      <w:bookmarkEnd w:id="1"/>
      <w:r w:rsidRPr="00861BCF">
        <w:rPr>
          <w:rFonts w:ascii="Arial" w:eastAsia="Arial" w:hAnsi="Arial" w:cs="Arial"/>
          <w:vertAlign w:val="superscript"/>
          <w:lang w:val="pt-BR"/>
        </w:rPr>
        <w:t>1</w:t>
      </w:r>
      <w:r w:rsidRPr="00861BCF">
        <w:rPr>
          <w:rFonts w:ascii="Arial" w:eastAsia="Arial" w:hAnsi="Arial" w:cs="Arial"/>
          <w:lang w:val="pt-BR"/>
        </w:rPr>
        <w:t xml:space="preserve"> LEPaC, Departamento de Ecologia, Instituto de Biociências, Universidade de São Paulo. Rua do Matão, 321, Travessa 14, CEP:05508-090, São Paulo-SP, Brasil </w:t>
      </w:r>
    </w:p>
    <w:p w14:paraId="185E6355" w14:textId="77777777" w:rsidR="00D8396D" w:rsidRDefault="00D474E6">
      <w:pPr>
        <w:spacing w:before="240" w:after="0" w:line="360" w:lineRule="auto"/>
        <w:jc w:val="left"/>
        <w:rPr>
          <w:rFonts w:ascii="Arial" w:eastAsia="Arial" w:hAnsi="Arial" w:cs="Arial"/>
        </w:rPr>
      </w:pPr>
      <w:r w:rsidRPr="00861BCF">
        <w:rPr>
          <w:rFonts w:ascii="Arial" w:eastAsia="Arial" w:hAnsi="Arial" w:cs="Arial"/>
          <w:vertAlign w:val="superscript"/>
          <w:lang w:val="pt-BR"/>
        </w:rPr>
        <w:t>2</w:t>
      </w:r>
      <w:r w:rsidRPr="00861BCF">
        <w:rPr>
          <w:rFonts w:ascii="Arial" w:eastAsia="Arial" w:hAnsi="Arial" w:cs="Arial"/>
          <w:lang w:val="pt-BR"/>
        </w:rPr>
        <w:t xml:space="preserve"> Forest &amp; Nature Lab, Ghent University. </w:t>
      </w:r>
      <w:r>
        <w:rPr>
          <w:rFonts w:ascii="Arial" w:eastAsia="Arial" w:hAnsi="Arial" w:cs="Arial"/>
        </w:rPr>
        <w:t>Geraardsbergsesteenweg 267, 9090 Melle-Gontrode, Belgium</w:t>
      </w:r>
    </w:p>
    <w:p w14:paraId="78156C99" w14:textId="77777777" w:rsidR="00D8396D" w:rsidRDefault="00D474E6">
      <w:pPr>
        <w:spacing w:before="240" w:after="0" w:line="360" w:lineRule="auto"/>
        <w:jc w:val="left"/>
        <w:rPr>
          <w:rFonts w:ascii="Arial" w:eastAsia="Arial" w:hAnsi="Arial" w:cs="Arial"/>
        </w:rPr>
      </w:pPr>
      <w:r>
        <w:rPr>
          <w:rFonts w:ascii="Arial" w:eastAsia="Arial" w:hAnsi="Arial" w:cs="Arial"/>
          <w:vertAlign w:val="superscript"/>
        </w:rPr>
        <w:t>3</w:t>
      </w:r>
      <w:r>
        <w:rPr>
          <w:rFonts w:ascii="Arial" w:eastAsia="Arial" w:hAnsi="Arial" w:cs="Arial"/>
        </w:rPr>
        <w:t xml:space="preserve"> Ecosystem Restoration and Intervention Ecology Research Group, School of Biological Sciences, The University of Western Australia, 35 Stirling Highway, Crawley, WA 6009, Australia</w:t>
      </w:r>
    </w:p>
    <w:p w14:paraId="68F416AD" w14:textId="77777777" w:rsidR="00D8396D" w:rsidRDefault="00D474E6">
      <w:pPr>
        <w:spacing w:before="240" w:line="480" w:lineRule="auto"/>
        <w:jc w:val="left"/>
        <w:rPr>
          <w:rFonts w:ascii="Arial" w:eastAsia="Arial" w:hAnsi="Arial" w:cs="Arial"/>
        </w:rPr>
      </w:pPr>
      <w:r>
        <w:rPr>
          <w:rFonts w:ascii="Arial" w:eastAsia="Arial" w:hAnsi="Arial" w:cs="Arial"/>
          <w:b/>
        </w:rPr>
        <w:t>Running head:</w:t>
      </w:r>
      <w:r>
        <w:rPr>
          <w:rFonts w:ascii="Arial" w:eastAsia="Arial" w:hAnsi="Arial" w:cs="Arial"/>
        </w:rPr>
        <w:t xml:space="preserve"> Soil and forest cover affect tropical forest restoration</w:t>
      </w:r>
    </w:p>
    <w:p w14:paraId="7716D6AB" w14:textId="2AF9C62D" w:rsidR="00D8396D" w:rsidRDefault="00D474E6">
      <w:pPr>
        <w:spacing w:line="480" w:lineRule="auto"/>
        <w:jc w:val="center"/>
        <w:rPr>
          <w:rFonts w:ascii="Arial" w:eastAsia="Arial" w:hAnsi="Arial" w:cs="Arial"/>
        </w:rPr>
      </w:pPr>
      <w:r>
        <w:rPr>
          <w:rFonts w:ascii="Arial" w:eastAsia="Arial" w:hAnsi="Arial" w:cs="Arial"/>
          <w:b/>
        </w:rPr>
        <w:t>Print journal page estimate</w:t>
      </w:r>
      <w:r w:rsidRPr="00490A81">
        <w:rPr>
          <w:rFonts w:ascii="Arial" w:eastAsia="Arial" w:hAnsi="Arial" w:cs="Arial"/>
          <w:b/>
        </w:rPr>
        <w:t xml:space="preserve">: </w:t>
      </w:r>
      <w:r w:rsidRPr="00490A81">
        <w:rPr>
          <w:rFonts w:ascii="Arial" w:eastAsia="Arial" w:hAnsi="Arial" w:cs="Arial"/>
        </w:rPr>
        <w:t>0.7 page for figures, 0.5 pages for</w:t>
      </w:r>
      <w:r w:rsidR="00861BCF" w:rsidRPr="00490A81">
        <w:rPr>
          <w:rFonts w:ascii="Arial" w:eastAsia="Arial" w:hAnsi="Arial" w:cs="Arial"/>
        </w:rPr>
        <w:t xml:space="preserve"> tables, </w:t>
      </w:r>
      <w:r w:rsidR="00490A81" w:rsidRPr="00490A81">
        <w:rPr>
          <w:rFonts w:ascii="Arial" w:eastAsia="Arial" w:hAnsi="Arial" w:cs="Arial"/>
        </w:rPr>
        <w:t xml:space="preserve">9.3 </w:t>
      </w:r>
      <w:r w:rsidR="00861BCF" w:rsidRPr="00490A81">
        <w:rPr>
          <w:rFonts w:ascii="Arial" w:eastAsia="Arial" w:hAnsi="Arial" w:cs="Arial"/>
        </w:rPr>
        <w:t>pages for text (</w:t>
      </w:r>
      <w:r w:rsidR="00490A81" w:rsidRPr="00490A81">
        <w:rPr>
          <w:rFonts w:ascii="Arial" w:eastAsia="Arial" w:hAnsi="Arial" w:cs="Arial"/>
        </w:rPr>
        <w:t xml:space="preserve">7743 </w:t>
      </w:r>
      <w:r w:rsidRPr="00490A81">
        <w:rPr>
          <w:rFonts w:ascii="Arial" w:eastAsia="Arial" w:hAnsi="Arial" w:cs="Arial"/>
        </w:rPr>
        <w:t>words), total 1</w:t>
      </w:r>
      <w:r w:rsidR="00490A81" w:rsidRPr="00490A81">
        <w:rPr>
          <w:rFonts w:ascii="Arial" w:eastAsia="Arial" w:hAnsi="Arial" w:cs="Arial"/>
        </w:rPr>
        <w:t>0</w:t>
      </w:r>
      <w:r w:rsidRPr="00490A81">
        <w:rPr>
          <w:rFonts w:ascii="Arial" w:eastAsia="Arial" w:hAnsi="Arial" w:cs="Arial"/>
        </w:rPr>
        <w:t>.</w:t>
      </w:r>
      <w:r w:rsidR="00490A81" w:rsidRPr="00490A81">
        <w:rPr>
          <w:rFonts w:ascii="Arial" w:eastAsia="Arial" w:hAnsi="Arial" w:cs="Arial"/>
        </w:rPr>
        <w:t>5</w:t>
      </w:r>
      <w:r w:rsidRPr="00490A81">
        <w:rPr>
          <w:rFonts w:ascii="Arial" w:eastAsia="Arial" w:hAnsi="Arial" w:cs="Arial"/>
        </w:rPr>
        <w:t xml:space="preserve"> pages</w:t>
      </w:r>
      <w:r>
        <w:rPr>
          <w:rFonts w:ascii="Arial" w:eastAsia="Arial" w:hAnsi="Arial" w:cs="Arial"/>
        </w:rPr>
        <w:t xml:space="preserve"> </w:t>
      </w:r>
    </w:p>
    <w:p w14:paraId="42364692" w14:textId="77777777" w:rsidR="00D8396D" w:rsidRDefault="00D474E6">
      <w:pPr>
        <w:pStyle w:val="Heading2"/>
        <w:spacing w:line="480" w:lineRule="auto"/>
        <w:rPr>
          <w:rFonts w:ascii="Arial" w:eastAsia="Arial" w:hAnsi="Arial" w:cs="Arial"/>
        </w:rPr>
      </w:pPr>
      <w:r>
        <w:rPr>
          <w:rFonts w:ascii="Arial" w:eastAsia="Arial" w:hAnsi="Arial" w:cs="Arial"/>
        </w:rPr>
        <w:lastRenderedPageBreak/>
        <w:t>I-ABSTRACT</w:t>
      </w:r>
    </w:p>
    <w:p w14:paraId="373E30F9" w14:textId="77777777" w:rsidR="00D8396D" w:rsidRDefault="00D474E6">
      <w:pPr>
        <w:pStyle w:val="Heading5"/>
        <w:spacing w:line="480" w:lineRule="auto"/>
        <w:rPr>
          <w:rFonts w:ascii="Arial" w:eastAsia="Arial" w:hAnsi="Arial" w:cs="Arial"/>
        </w:rPr>
      </w:pPr>
      <w:bookmarkStart w:id="2" w:name="30j0zll" w:colFirst="0" w:colLast="0"/>
      <w:bookmarkStart w:id="3" w:name="1fob9te" w:colFirst="0" w:colLast="0"/>
      <w:bookmarkEnd w:id="2"/>
      <w:bookmarkEnd w:id="3"/>
      <w:r>
        <w:rPr>
          <w:rFonts w:ascii="Arial" w:eastAsia="Arial" w:hAnsi="Arial" w:cs="Arial"/>
        </w:rPr>
        <w:t>QUESTIONS</w:t>
      </w:r>
    </w:p>
    <w:p w14:paraId="67E98371" w14:textId="6751B051" w:rsidR="00D8396D" w:rsidRDefault="00D474E6">
      <w:pPr>
        <w:pStyle w:val="Heading5"/>
        <w:spacing w:line="480" w:lineRule="auto"/>
        <w:rPr>
          <w:b w:val="0"/>
          <w:highlight w:val="white"/>
        </w:rPr>
      </w:pPr>
      <w:r>
        <w:rPr>
          <w:rFonts w:ascii="Arial" w:eastAsia="Arial" w:hAnsi="Arial" w:cs="Arial"/>
          <w:b w:val="0"/>
        </w:rPr>
        <w:t>We studied the importance of soil properties and neighbouring forest cover in affecting plant community biomass and assembly during the tropical forest restoration process. We also investigated how compositional responses depended on traits expected to influence individual success.</w:t>
      </w:r>
    </w:p>
    <w:p w14:paraId="04646EBB" w14:textId="77777777" w:rsidR="00D8396D" w:rsidRDefault="00D474E6">
      <w:pPr>
        <w:pStyle w:val="Heading5"/>
        <w:spacing w:line="480" w:lineRule="auto"/>
        <w:rPr>
          <w:rFonts w:ascii="Arial" w:eastAsia="Arial" w:hAnsi="Arial" w:cs="Arial"/>
        </w:rPr>
      </w:pPr>
      <w:r>
        <w:rPr>
          <w:rFonts w:ascii="Arial" w:eastAsia="Arial" w:hAnsi="Arial" w:cs="Arial"/>
        </w:rPr>
        <w:t>LOCATION</w:t>
      </w:r>
    </w:p>
    <w:p w14:paraId="1BF8A5E5" w14:textId="20601630" w:rsidR="00D8396D" w:rsidRDefault="00D474E6">
      <w:pPr>
        <w:pStyle w:val="Heading5"/>
        <w:spacing w:line="480" w:lineRule="auto"/>
        <w:rPr>
          <w:rFonts w:ascii="Arial" w:eastAsia="Arial" w:hAnsi="Arial" w:cs="Arial"/>
          <w:b w:val="0"/>
        </w:rPr>
      </w:pPr>
      <w:r>
        <w:rPr>
          <w:rFonts w:ascii="Arial" w:eastAsia="Arial" w:hAnsi="Arial" w:cs="Arial"/>
          <w:b w:val="0"/>
        </w:rPr>
        <w:t xml:space="preserve">Forest restoration sites (N=32) distributed across anthropogenic grasslands in six mixed-use agricultural watersheds in </w:t>
      </w:r>
      <w:r w:rsidR="0021737E">
        <w:rPr>
          <w:rFonts w:ascii="Arial" w:eastAsia="Arial" w:hAnsi="Arial" w:cs="Arial"/>
          <w:b w:val="0"/>
        </w:rPr>
        <w:t>E</w:t>
      </w:r>
      <w:r>
        <w:rPr>
          <w:rFonts w:ascii="Arial" w:eastAsia="Arial" w:hAnsi="Arial" w:cs="Arial"/>
          <w:b w:val="0"/>
        </w:rPr>
        <w:t>astern São Paulo state (Brazil).</w:t>
      </w:r>
    </w:p>
    <w:p w14:paraId="2D01113E" w14:textId="77777777" w:rsidR="00D8396D" w:rsidRDefault="00D474E6">
      <w:pPr>
        <w:pStyle w:val="Heading5"/>
        <w:spacing w:line="480" w:lineRule="auto"/>
        <w:rPr>
          <w:rFonts w:ascii="Arial" w:eastAsia="Arial" w:hAnsi="Arial" w:cs="Arial"/>
        </w:rPr>
      </w:pPr>
      <w:r>
        <w:rPr>
          <w:rFonts w:ascii="Arial" w:eastAsia="Arial" w:hAnsi="Arial" w:cs="Arial"/>
        </w:rPr>
        <w:t>METHODS</w:t>
      </w:r>
    </w:p>
    <w:p w14:paraId="1CFF4334" w14:textId="4BE00EFD" w:rsidR="00D8396D" w:rsidRDefault="00D474E6" w:rsidP="00517FE7">
      <w:pPr>
        <w:spacing w:line="480" w:lineRule="auto"/>
        <w:rPr>
          <w:rFonts w:ascii="Arial" w:eastAsia="Arial" w:hAnsi="Arial" w:cs="Arial"/>
        </w:rPr>
      </w:pPr>
      <w:r w:rsidRPr="00D1797A">
        <w:rPr>
          <w:rFonts w:ascii="Arial" w:eastAsia="Arial" w:hAnsi="Arial" w:cs="Arial"/>
        </w:rPr>
        <w:t>We identified and measured all woody individuals (DBH</w:t>
      </w:r>
      <w:r w:rsidR="001819A6">
        <w:rPr>
          <w:rFonts w:ascii="Arial" w:eastAsia="Arial" w:hAnsi="Arial" w:cs="Arial"/>
        </w:rPr>
        <w:t xml:space="preserve"> </w:t>
      </w:r>
      <w:r w:rsidRPr="00D1797A">
        <w:rPr>
          <w:rFonts w:ascii="Arial" w:eastAsia="Arial" w:hAnsi="Arial" w:cs="Arial"/>
        </w:rPr>
        <w:t>≥5</w:t>
      </w:r>
      <w:r w:rsidR="00EB0330">
        <w:rPr>
          <w:rFonts w:ascii="Arial" w:eastAsia="Arial" w:hAnsi="Arial" w:cs="Arial"/>
        </w:rPr>
        <w:t xml:space="preserve"> </w:t>
      </w:r>
      <w:r w:rsidRPr="00D1797A">
        <w:rPr>
          <w:rFonts w:ascii="Arial" w:eastAsia="Arial" w:hAnsi="Arial" w:cs="Arial"/>
        </w:rPr>
        <w:t xml:space="preserve">cm) in four </w:t>
      </w:r>
      <w:r w:rsidR="00541DF8" w:rsidRPr="00D1797A">
        <w:rPr>
          <w:rFonts w:ascii="Arial" w:eastAsia="Arial" w:hAnsi="Arial" w:cs="Arial"/>
        </w:rPr>
        <w:t>200</w:t>
      </w:r>
      <w:r w:rsidR="00A04030">
        <w:rPr>
          <w:rFonts w:ascii="Arial" w:eastAsia="Arial" w:hAnsi="Arial" w:cs="Arial"/>
        </w:rPr>
        <w:t xml:space="preserve"> </w:t>
      </w:r>
      <w:r w:rsidR="00541DF8" w:rsidRPr="00D1797A">
        <w:rPr>
          <w:rFonts w:ascii="Arial" w:eastAsia="Arial" w:hAnsi="Arial" w:cs="Arial"/>
        </w:rPr>
        <w:t>m</w:t>
      </w:r>
      <w:r w:rsidR="00541DF8">
        <w:rPr>
          <w:rFonts w:ascii="Arial" w:eastAsia="Arial" w:hAnsi="Arial" w:cs="Arial"/>
        </w:rPr>
        <w:t>²</w:t>
      </w:r>
      <w:r w:rsidR="00A04030">
        <w:rPr>
          <w:rFonts w:ascii="Arial" w:eastAsia="Arial" w:hAnsi="Arial" w:cs="Arial"/>
        </w:rPr>
        <w:t xml:space="preserve"> </w:t>
      </w:r>
      <w:r>
        <w:rPr>
          <w:rFonts w:ascii="Arial" w:eastAsia="Arial" w:hAnsi="Arial" w:cs="Arial"/>
        </w:rPr>
        <w:t>plots per site. Then we translated these measurements into aboveground biomass (AGB), and related AGB variability to neighbouring forest cover, soil texture and chemical fertility with mixed effect models. We assessed the effect of these predictors on different species groups, arranged according to variation in wood density, tree height or habitat selectivity, through multivariate abundance models.</w:t>
      </w:r>
    </w:p>
    <w:p w14:paraId="07C1E6E7" w14:textId="77777777" w:rsidR="00D8396D" w:rsidRDefault="00D474E6">
      <w:pPr>
        <w:pStyle w:val="Heading5"/>
        <w:spacing w:line="480" w:lineRule="auto"/>
        <w:rPr>
          <w:rFonts w:ascii="Arial" w:eastAsia="Arial" w:hAnsi="Arial" w:cs="Arial"/>
        </w:rPr>
      </w:pPr>
      <w:r>
        <w:rPr>
          <w:rFonts w:ascii="Arial" w:eastAsia="Arial" w:hAnsi="Arial" w:cs="Arial"/>
        </w:rPr>
        <w:t>RESULTS</w:t>
      </w:r>
    </w:p>
    <w:p w14:paraId="34C3EA8F" w14:textId="3037FFE6" w:rsidR="00D8396D" w:rsidRDefault="00D474E6">
      <w:pPr>
        <w:spacing w:line="480" w:lineRule="auto"/>
        <w:rPr>
          <w:rFonts w:ascii="Arial" w:eastAsia="Arial" w:hAnsi="Arial" w:cs="Arial"/>
        </w:rPr>
      </w:pPr>
      <w:r>
        <w:rPr>
          <w:rFonts w:ascii="Arial" w:eastAsia="Arial" w:hAnsi="Arial" w:cs="Arial"/>
        </w:rPr>
        <w:t xml:space="preserve">AGB ranged between 0 and 104.7 ton/ha (median of 10.4 ton/ha), with high variation within, as well as between, watersheds. Sand percentage, forest cover, and the interaction between soil nutrient concentrations and sand percentage were good predictors of measured AGB. The most parsimonious model projected a seven growing-seasons AGB recovery of 70.90 ton/ha, when a site is on fertile soils with 10% sand and surrounded by forest cover of 50%. In contrast, only 5.24 ton/ha is predicted on acidic-poor soils with 67% sand and 0% forest </w:t>
      </w:r>
      <w:r>
        <w:rPr>
          <w:rFonts w:ascii="Arial" w:eastAsia="Arial" w:hAnsi="Arial" w:cs="Arial"/>
        </w:rPr>
        <w:lastRenderedPageBreak/>
        <w:t>cover. Increasing forest cover favoured smaller trees and habitat-generalists while increasing sand percentage inhibited taller-species and forest-specialists. Sand percentage constrained softwoods in fertile soils.</w:t>
      </w:r>
    </w:p>
    <w:p w14:paraId="5B0A4418" w14:textId="77777777" w:rsidR="00D8396D" w:rsidRDefault="00D474E6">
      <w:pPr>
        <w:pStyle w:val="Heading5"/>
        <w:spacing w:line="480" w:lineRule="auto"/>
        <w:rPr>
          <w:rFonts w:ascii="Arial" w:eastAsia="Arial" w:hAnsi="Arial" w:cs="Arial"/>
        </w:rPr>
      </w:pPr>
      <w:r>
        <w:rPr>
          <w:rFonts w:ascii="Arial" w:eastAsia="Arial" w:hAnsi="Arial" w:cs="Arial"/>
        </w:rPr>
        <w:t xml:space="preserve">CONCLUSION </w:t>
      </w:r>
    </w:p>
    <w:p w14:paraId="33E325E2" w14:textId="77777777" w:rsidR="00D8396D" w:rsidRDefault="00D474E6">
      <w:pPr>
        <w:spacing w:line="480" w:lineRule="auto"/>
        <w:rPr>
          <w:rFonts w:ascii="Arial" w:eastAsia="Arial" w:hAnsi="Arial" w:cs="Arial"/>
        </w:rPr>
      </w:pPr>
      <w:r>
        <w:rPr>
          <w:rFonts w:ascii="Arial" w:eastAsia="Arial" w:hAnsi="Arial" w:cs="Arial"/>
        </w:rPr>
        <w:t>Our results confirm that the likelihood of restoration to pre-disturbance conditions is constrained in contexts of higher degradation, such as when agricultural use adversely affects soil properties and/or motivates extreme deforestation. Lower AGB found on sandy soils suggests that forest recovery is sensitive to local drought intensification. Given regional projections for extended dry seasons, restoration approaches could consider targeting alternative reference states, rather than historical/undisturbed ones, under highly altered environments, while aiming to improve soil and microclimate conditions to allow moist tropical forest recovery where feasible.</w:t>
      </w:r>
    </w:p>
    <w:p w14:paraId="2C312EC9" w14:textId="77777777" w:rsidR="00D8396D" w:rsidRDefault="00D474E6">
      <w:pPr>
        <w:pStyle w:val="Heading6"/>
        <w:spacing w:line="480" w:lineRule="auto"/>
        <w:rPr>
          <w:rFonts w:ascii="Arial" w:eastAsia="Arial" w:hAnsi="Arial" w:cs="Arial"/>
        </w:rPr>
      </w:pPr>
      <w:r>
        <w:rPr>
          <w:rFonts w:ascii="Arial" w:eastAsia="Arial" w:hAnsi="Arial" w:cs="Arial"/>
        </w:rPr>
        <w:t xml:space="preserve">Key words: Atlantic rainforest, disturbance, dispersal, environmental filters, </w:t>
      </w:r>
      <w:r w:rsidR="00D41C68">
        <w:rPr>
          <w:rFonts w:ascii="Arial" w:eastAsia="Arial" w:hAnsi="Arial" w:cs="Arial"/>
        </w:rPr>
        <w:t>landscape e</w:t>
      </w:r>
      <w:r>
        <w:rPr>
          <w:rFonts w:ascii="Arial" w:eastAsia="Arial" w:hAnsi="Arial" w:cs="Arial"/>
        </w:rPr>
        <w:t>cology, recovery, traits</w:t>
      </w:r>
    </w:p>
    <w:p w14:paraId="75DCAD22" w14:textId="77777777" w:rsidR="00D8396D" w:rsidRDefault="00D474E6">
      <w:pPr>
        <w:pStyle w:val="Heading2"/>
        <w:spacing w:line="480" w:lineRule="auto"/>
        <w:rPr>
          <w:rFonts w:ascii="Arial" w:eastAsia="Arial" w:hAnsi="Arial" w:cs="Arial"/>
          <w:smallCaps/>
          <w:sz w:val="22"/>
          <w:szCs w:val="22"/>
        </w:rPr>
      </w:pPr>
      <w:r>
        <w:rPr>
          <w:rFonts w:ascii="Arial" w:eastAsia="Arial" w:hAnsi="Arial" w:cs="Arial"/>
          <w:sz w:val="22"/>
          <w:szCs w:val="22"/>
        </w:rPr>
        <w:t xml:space="preserve">Nomenclature: </w:t>
      </w:r>
      <w:r>
        <w:rPr>
          <w:rFonts w:ascii="Arial" w:eastAsia="Arial" w:hAnsi="Arial" w:cs="Arial"/>
          <w:b w:val="0"/>
          <w:sz w:val="22"/>
          <w:szCs w:val="22"/>
        </w:rPr>
        <w:t>Brazilian Flora 2020 (</w:t>
      </w:r>
      <w:r>
        <w:rPr>
          <w:rFonts w:ascii="Arial" w:eastAsia="Arial" w:hAnsi="Arial" w:cs="Arial"/>
          <w:b w:val="0"/>
          <w:sz w:val="22"/>
          <w:szCs w:val="22"/>
          <w:u w:val="single"/>
        </w:rPr>
        <w:t>http://floradobrasil.jbrj.gov.br</w:t>
      </w:r>
      <w:r>
        <w:rPr>
          <w:rFonts w:ascii="Arial" w:eastAsia="Arial" w:hAnsi="Arial" w:cs="Arial"/>
          <w:b w:val="0"/>
          <w:sz w:val="22"/>
          <w:szCs w:val="22"/>
        </w:rPr>
        <w:t>; accessed on 6 Jun 2016)</w:t>
      </w:r>
    </w:p>
    <w:p w14:paraId="2DEAE292" w14:textId="77777777" w:rsidR="00D8396D" w:rsidRDefault="00D8396D">
      <w:pPr>
        <w:spacing w:line="480" w:lineRule="auto"/>
        <w:rPr>
          <w:rFonts w:ascii="Arial" w:eastAsia="Arial" w:hAnsi="Arial" w:cs="Arial"/>
        </w:rPr>
      </w:pPr>
    </w:p>
    <w:p w14:paraId="2F94311B" w14:textId="77777777" w:rsidR="00D8396D" w:rsidRDefault="00D474E6">
      <w:pPr>
        <w:pStyle w:val="Heading2"/>
        <w:spacing w:line="480" w:lineRule="auto"/>
        <w:rPr>
          <w:rFonts w:ascii="Arial" w:eastAsia="Arial" w:hAnsi="Arial" w:cs="Arial"/>
        </w:rPr>
      </w:pPr>
      <w:r>
        <w:rPr>
          <w:rFonts w:ascii="Arial" w:eastAsia="Arial" w:hAnsi="Arial" w:cs="Arial"/>
        </w:rPr>
        <w:t>II-INTRODUCTION</w:t>
      </w:r>
    </w:p>
    <w:p w14:paraId="632CA4B6" w14:textId="77777777" w:rsidR="00D8396D" w:rsidRDefault="00D474E6">
      <w:pPr>
        <w:spacing w:after="240" w:line="480" w:lineRule="auto"/>
        <w:ind w:firstLine="420"/>
        <w:rPr>
          <w:rFonts w:ascii="Arial" w:eastAsia="Arial" w:hAnsi="Arial" w:cs="Arial"/>
        </w:rPr>
      </w:pPr>
      <w:r>
        <w:rPr>
          <w:rFonts w:ascii="Arial" w:eastAsia="Arial" w:hAnsi="Arial" w:cs="Arial"/>
        </w:rPr>
        <w:t xml:space="preserve">Conceptual and practical advances in the field of restoration ecology have encouraged the launch of forest restoration programs across the globe (Perring et al. 2015a, Suding et al. 2015). Restoration endeavours also occur in tropical hotspots for biological conservation (Calmon et al. 2011; Wuetrich, 2007), and native tree plantations are widely used as a central restoration technique (see Rodrigues et al. 2009; Lamb et al. 2005). However, restoration outcomes from these plantations can be highly variable and hard to predict (Holl &amp; Zahawi 2014). Variability is likely due to regeneration processes being forged by the </w:t>
      </w:r>
      <w:r>
        <w:rPr>
          <w:rFonts w:ascii="Arial" w:eastAsia="Arial" w:hAnsi="Arial" w:cs="Arial"/>
        </w:rPr>
        <w:lastRenderedPageBreak/>
        <w:t>interplay of biotic and abiotic legacies (Flinn &amp; Vellend, 2005; Hobbs et al. 2009), as well as varying disturbance regimes at the local and landscape levels (Suding, 2011; Holl &amp; Aide, 2011). Consequently, to aid restoration practice, and better develop policy recommendations, we require a greater understanding of the major factors involved in successful forest recovery (Maron et al. 2012).</w:t>
      </w:r>
    </w:p>
    <w:p w14:paraId="42B7B408" w14:textId="23772FF0" w:rsidR="00D8396D" w:rsidRDefault="00D474E6">
      <w:pPr>
        <w:spacing w:after="240" w:line="480" w:lineRule="auto"/>
        <w:ind w:firstLine="420"/>
        <w:rPr>
          <w:rFonts w:ascii="Arial" w:eastAsia="Arial" w:hAnsi="Arial" w:cs="Arial"/>
        </w:rPr>
      </w:pPr>
      <w:r>
        <w:rPr>
          <w:rFonts w:ascii="Arial" w:eastAsia="Arial" w:hAnsi="Arial" w:cs="Arial"/>
        </w:rPr>
        <w:t xml:space="preserve">Forest restoration takes place as a sequence of interventions aimed to mitigate known obstacles for secondary succession (del Moral et al. 2007). Projects based in diverse native-tree-plantations initially target overcoming poor seed dispersal and manipulating species assembly by re-introducing a selected species pool and managing mortality rates (e.g. by reducing herbivory and controlling competition). Afterwards, the growth of the planted trees is expected to reestablish light competition, and facilitate recolonization through seed arrivals (Reid et al. 2015), and improve the establishment of old-growth forest species. </w:t>
      </w:r>
      <w:r w:rsidR="00D1670F">
        <w:rPr>
          <w:rFonts w:ascii="Arial" w:eastAsia="Arial" w:hAnsi="Arial" w:cs="Arial"/>
        </w:rPr>
        <w:t xml:space="preserve">However, </w:t>
      </w:r>
      <w:r>
        <w:rPr>
          <w:rFonts w:ascii="Arial" w:eastAsia="Arial" w:hAnsi="Arial" w:cs="Arial"/>
        </w:rPr>
        <w:t xml:space="preserve">the risk of incomplete transition from a tree plantation to a self-recovering connected forest can be high, and this disconnect is often attributed to a mixture of local and landscape constraints (Cramer et al. 2008; Suding 2011). </w:t>
      </w:r>
    </w:p>
    <w:p w14:paraId="1C826F8D" w14:textId="1BE52757" w:rsidR="00D8396D" w:rsidRDefault="00D474E6">
      <w:pPr>
        <w:spacing w:after="240" w:line="480" w:lineRule="auto"/>
        <w:ind w:firstLine="420"/>
        <w:rPr>
          <w:rFonts w:ascii="Arial" w:eastAsia="Arial" w:hAnsi="Arial" w:cs="Arial"/>
        </w:rPr>
      </w:pPr>
      <w:r>
        <w:rPr>
          <w:rFonts w:ascii="Arial" w:eastAsia="Arial" w:hAnsi="Arial" w:cs="Arial"/>
        </w:rPr>
        <w:t>Locally, the main concerns are edaphic legacies induced by deforestation and agricultural land-use (Markewitz et al. 2004, Randrianarison et al. 2016)</w:t>
      </w:r>
      <w:r>
        <w:rPr>
          <w:rFonts w:ascii="Arial" w:eastAsia="Arial" w:hAnsi="Arial" w:cs="Arial"/>
          <w:sz w:val="16"/>
          <w:szCs w:val="16"/>
        </w:rPr>
        <w:t>.</w:t>
      </w:r>
      <w:r>
        <w:rPr>
          <w:rFonts w:ascii="Arial" w:eastAsia="Arial" w:hAnsi="Arial" w:cs="Arial"/>
        </w:rPr>
        <w:t xml:space="preserve"> The negative effect of environmental legacies on the recruitment, growth and reproduction of species is referred to as environmental limitation (Baeten et al. 2009). For instance, forest recovery can be directly affected by lower water-holding capacity of sandy soils, exacerbated by agriculturally driven soil organic matter loss (Matson et al. 1997) or by livestock</w:t>
      </w:r>
      <w:r w:rsidR="00D1670F">
        <w:rPr>
          <w:rFonts w:ascii="Arial" w:eastAsia="Arial" w:hAnsi="Arial" w:cs="Arial"/>
        </w:rPr>
        <w:t>-</w:t>
      </w:r>
      <w:r>
        <w:rPr>
          <w:rFonts w:ascii="Arial" w:eastAsia="Arial" w:hAnsi="Arial" w:cs="Arial"/>
        </w:rPr>
        <w:t xml:space="preserve">mediated soil erosion, with mortality concentrated on certain species groups (Martinez-Garza et al.2013). Nonetheless, environmental changes may also promote an asymmetric effect on the species pool, and then </w:t>
      </w:r>
      <w:r w:rsidR="00DE52A9">
        <w:rPr>
          <w:rFonts w:ascii="Arial" w:eastAsia="Arial" w:hAnsi="Arial" w:cs="Arial"/>
        </w:rPr>
        <w:t xml:space="preserve">a </w:t>
      </w:r>
      <w:r>
        <w:rPr>
          <w:rFonts w:ascii="Arial" w:eastAsia="Arial" w:hAnsi="Arial" w:cs="Arial"/>
        </w:rPr>
        <w:t xml:space="preserve">few species become overabundant, indirectly constraining forest recovery. As an </w:t>
      </w:r>
      <w:r>
        <w:rPr>
          <w:rFonts w:ascii="Arial" w:eastAsia="Arial" w:hAnsi="Arial" w:cs="Arial"/>
        </w:rPr>
        <w:lastRenderedPageBreak/>
        <w:t xml:space="preserve">example, successional inhibition has been attributed to fern overabundance on acidified soils in the Brazilian Atlantic </w:t>
      </w:r>
      <w:r w:rsidR="0021737E">
        <w:rPr>
          <w:rFonts w:ascii="Arial" w:eastAsia="Arial" w:hAnsi="Arial" w:cs="Arial"/>
        </w:rPr>
        <w:t>F</w:t>
      </w:r>
      <w:r>
        <w:rPr>
          <w:rFonts w:ascii="Arial" w:eastAsia="Arial" w:hAnsi="Arial" w:cs="Arial"/>
        </w:rPr>
        <w:t>orest domain (Ribeiro et al. 2013). These early responses to environmental filters can also cause long-term implications for tropical forest succession. For example, Lebrija-Trejos et al. (2010) showed that structural development (i.e. crown area, basal area, and tree density) in tropical dry-forests shapes the local environment (i.e. light, temperature and moisture). This changed local environment altered the trajectory of community assembly through selecting species with certain functional traits.</w:t>
      </w:r>
      <w:r w:rsidR="00BE679C">
        <w:rPr>
          <w:rFonts w:ascii="Arial" w:eastAsia="Arial" w:hAnsi="Arial" w:cs="Arial"/>
        </w:rPr>
        <w:t xml:space="preserve"> </w:t>
      </w:r>
    </w:p>
    <w:p w14:paraId="52FE2320" w14:textId="0E6C7E21" w:rsidR="00D8396D" w:rsidRDefault="00D474E6">
      <w:pPr>
        <w:spacing w:after="240" w:line="480" w:lineRule="auto"/>
        <w:ind w:firstLine="420"/>
        <w:rPr>
          <w:rFonts w:ascii="Arial" w:eastAsia="Arial" w:hAnsi="Arial" w:cs="Arial"/>
        </w:rPr>
      </w:pPr>
      <w:r>
        <w:rPr>
          <w:rFonts w:ascii="Arial" w:eastAsia="Arial" w:hAnsi="Arial" w:cs="Arial"/>
        </w:rPr>
        <w:t xml:space="preserve">At a broader scale, </w:t>
      </w:r>
      <w:r w:rsidR="00D1670F">
        <w:rPr>
          <w:rFonts w:ascii="Arial" w:eastAsia="Arial" w:hAnsi="Arial" w:cs="Arial"/>
        </w:rPr>
        <w:t>“</w:t>
      </w:r>
      <w:r>
        <w:rPr>
          <w:rFonts w:ascii="Arial" w:eastAsia="Arial" w:hAnsi="Arial" w:cs="Arial"/>
        </w:rPr>
        <w:t>helpful</w:t>
      </w:r>
      <w:r w:rsidR="00D1670F">
        <w:rPr>
          <w:rFonts w:ascii="Arial" w:eastAsia="Arial" w:hAnsi="Arial" w:cs="Arial"/>
        </w:rPr>
        <w:t>”</w:t>
      </w:r>
      <w:r>
        <w:rPr>
          <w:rFonts w:ascii="Arial" w:eastAsia="Arial" w:hAnsi="Arial" w:cs="Arial"/>
        </w:rPr>
        <w:t xml:space="preserve"> neighbourhoods, such as well-forested landscapes, can be very beneficial to the restoration process (de Rezende et al. 2015). Ideally, neighbouring forests are functionally connected to the restoration site, and propagules are shared with restoration plantings through seed-rain (Barbosa &amp; Pizo, 2006; Zahawi et al. 2013), but studies indicate that relatively short distances between forest patches pose an effective barrier to seed dispersal (Kauano et al. 2013; Souza et al. 2014). Other processes are also moderated by the landscape arrangement </w:t>
      </w:r>
      <w:r w:rsidR="00710657">
        <w:rPr>
          <w:rFonts w:ascii="Arial" w:eastAsia="Arial" w:hAnsi="Arial" w:cs="Arial"/>
        </w:rPr>
        <w:t xml:space="preserve">because </w:t>
      </w:r>
      <w:r>
        <w:rPr>
          <w:rFonts w:ascii="Arial" w:eastAsia="Arial" w:hAnsi="Arial" w:cs="Arial"/>
        </w:rPr>
        <w:t>forest surroundings tend to be moister and colder (Baker et al. 2014) and are more likely to obtain nutrients by lateral diffusion, for instance through animal translocation (Wolf et al. 2013) or litter fall. Overall, forest cover within a set radius of the target restoration site provides a good proxy of these neighbourhood effects on biomass recovery and community assembly.</w:t>
      </w:r>
    </w:p>
    <w:p w14:paraId="5A5E32F1" w14:textId="70654586" w:rsidR="000D71C8" w:rsidRDefault="00D474E6" w:rsidP="00D17242">
      <w:pPr>
        <w:spacing w:after="240" w:line="480" w:lineRule="auto"/>
        <w:ind w:firstLine="420"/>
        <w:rPr>
          <w:rFonts w:ascii="Arial" w:eastAsia="Arial" w:hAnsi="Arial" w:cs="Arial"/>
        </w:rPr>
      </w:pPr>
      <w:r>
        <w:rPr>
          <w:rFonts w:ascii="Arial" w:eastAsia="Arial" w:hAnsi="Arial" w:cs="Arial"/>
        </w:rPr>
        <w:t xml:space="preserve"> Aboveground biomass (AGB) is a straightforward proxy to assess forest restoration success, and responses to environmental conditions, by combining forest</w:t>
      </w:r>
      <w:r w:rsidR="00710657">
        <w:rPr>
          <w:rFonts w:ascii="Arial" w:eastAsia="Arial" w:hAnsi="Arial" w:cs="Arial"/>
        </w:rPr>
        <w:t>-</w:t>
      </w:r>
      <w:r>
        <w:rPr>
          <w:rFonts w:ascii="Arial" w:eastAsia="Arial" w:hAnsi="Arial" w:cs="Arial"/>
        </w:rPr>
        <w:t xml:space="preserve">recovery outcomes in terms of stem density, tree growth and composition. Non-destructive AGB estimation is relatively well established for tropical forests (Ducanson et al. 2015), and empirical evidence indicates biomass as the main driver of changes in ecosystem process rates during tropical forest succession (Lohbeck et al. 2015). Hence, low AGB represents a </w:t>
      </w:r>
      <w:r>
        <w:rPr>
          <w:rFonts w:ascii="Arial" w:eastAsia="Arial" w:hAnsi="Arial" w:cs="Arial"/>
        </w:rPr>
        <w:lastRenderedPageBreak/>
        <w:t>poor restoration outcome, and in general</w:t>
      </w:r>
      <w:r w:rsidR="00F47D41">
        <w:rPr>
          <w:rFonts w:ascii="Arial" w:eastAsia="Arial" w:hAnsi="Arial" w:cs="Arial"/>
        </w:rPr>
        <w:t>,</w:t>
      </w:r>
      <w:r>
        <w:rPr>
          <w:rFonts w:ascii="Arial" w:eastAsia="Arial" w:hAnsi="Arial" w:cs="Arial"/>
        </w:rPr>
        <w:t xml:space="preserve"> indicates poor conditions for restoration.</w:t>
      </w:r>
    </w:p>
    <w:p w14:paraId="57C8A5C1" w14:textId="20F5757C" w:rsidR="00D17242" w:rsidRDefault="00D474E6" w:rsidP="00D17242">
      <w:pPr>
        <w:spacing w:after="240" w:line="480" w:lineRule="auto"/>
        <w:ind w:firstLine="420"/>
        <w:rPr>
          <w:rFonts w:ascii="Arial" w:eastAsia="Arial" w:hAnsi="Arial" w:cs="Arial"/>
        </w:rPr>
      </w:pPr>
      <w:r>
        <w:rPr>
          <w:rFonts w:ascii="Arial" w:eastAsia="Arial" w:hAnsi="Arial" w:cs="Arial"/>
        </w:rPr>
        <w:t xml:space="preserve">Total AGB combines primary production from different species groups in variable proportions, and in part, relative abundances respond to the scarcity or abundance of resources that favour alternative competitors (Lasky et al. 2014). Dominance in term of AGB is therefore expected to reflect environmental conditions, and quantifying these patterns may reveal local inhibitors for the </w:t>
      </w:r>
      <w:r w:rsidRPr="00BE679C">
        <w:rPr>
          <w:rFonts w:ascii="Arial" w:eastAsia="Arial" w:hAnsi="Arial" w:cs="Arial"/>
        </w:rPr>
        <w:t>restoration process.</w:t>
      </w:r>
      <w:r w:rsidR="00F50F1B" w:rsidRPr="00BE679C">
        <w:rPr>
          <w:rFonts w:ascii="Arial" w:eastAsia="Arial" w:hAnsi="Arial" w:cs="Arial"/>
        </w:rPr>
        <w:t xml:space="preserve"> </w:t>
      </w:r>
      <w:r w:rsidR="00745154" w:rsidRPr="00BE679C">
        <w:rPr>
          <w:rFonts w:ascii="Arial" w:eastAsia="Arial" w:hAnsi="Arial" w:cs="Arial"/>
        </w:rPr>
        <w:t>In particular, w</w:t>
      </w:r>
      <w:r w:rsidR="00D17242" w:rsidRPr="00BE679C">
        <w:rPr>
          <w:rFonts w:ascii="Arial" w:eastAsia="Arial" w:hAnsi="Arial" w:cs="Arial"/>
        </w:rPr>
        <w:t xml:space="preserve">e expected softwood-species to be more likely to be excluded if pronounced drought is a key mortality driver, since denser woods enhance plant resistance to xylem cavitation, fire, wind, and grazing (Poorter &amp; Markesteijn, 2008). In turn, favourable edaphic conditions support the development of productive forests, and </w:t>
      </w:r>
      <w:r w:rsidR="00DE52A9">
        <w:rPr>
          <w:rFonts w:ascii="Arial" w:eastAsia="Arial" w:hAnsi="Arial" w:cs="Arial"/>
        </w:rPr>
        <w:t>maximum height (</w:t>
      </w:r>
      <w:r w:rsidR="00D17242" w:rsidRPr="00BE679C">
        <w:rPr>
          <w:rFonts w:ascii="Arial" w:eastAsia="Arial" w:hAnsi="Arial" w:cs="Arial"/>
        </w:rPr>
        <w:t>H</w:t>
      </w:r>
      <w:r w:rsidR="00D17242" w:rsidRPr="00BE679C">
        <w:rPr>
          <w:rFonts w:ascii="Arial" w:eastAsia="Arial" w:hAnsi="Arial" w:cs="Arial"/>
          <w:vertAlign w:val="subscript"/>
        </w:rPr>
        <w:t>max</w:t>
      </w:r>
      <w:r w:rsidR="00DE52A9" w:rsidRPr="00DE52A9">
        <w:rPr>
          <w:rFonts w:ascii="Arial" w:eastAsia="Arial" w:hAnsi="Arial" w:cs="Arial"/>
        </w:rPr>
        <w:t>)</w:t>
      </w:r>
      <w:r w:rsidR="00D17242" w:rsidRPr="00BE679C">
        <w:rPr>
          <w:rFonts w:ascii="Arial" w:eastAsia="Arial" w:hAnsi="Arial" w:cs="Arial"/>
        </w:rPr>
        <w:t xml:space="preserve"> then becomes an important trait associated with the competitive ability for light (Shamp &amp; Aarssen, 2009). </w:t>
      </w:r>
      <w:r w:rsidR="00DE52A9">
        <w:rPr>
          <w:rFonts w:ascii="Arial" w:eastAsia="Arial" w:hAnsi="Arial" w:cs="Arial"/>
        </w:rPr>
        <w:t>W</w:t>
      </w:r>
      <w:r w:rsidR="00D17242" w:rsidRPr="00BE679C">
        <w:rPr>
          <w:rFonts w:ascii="Arial" w:eastAsia="Arial" w:hAnsi="Arial" w:cs="Arial"/>
        </w:rPr>
        <w:t xml:space="preserve">e </w:t>
      </w:r>
      <w:r w:rsidR="00DE52A9">
        <w:rPr>
          <w:rFonts w:ascii="Arial" w:eastAsia="Arial" w:hAnsi="Arial" w:cs="Arial"/>
        </w:rPr>
        <w:t xml:space="preserve">also </w:t>
      </w:r>
      <w:r w:rsidR="00D17242" w:rsidRPr="00BE679C">
        <w:rPr>
          <w:rFonts w:ascii="Arial" w:eastAsia="Arial" w:hAnsi="Arial" w:cs="Arial"/>
        </w:rPr>
        <w:t xml:space="preserve">anticipated harsher restoration conditions to be less adverse for species of low specialization to mature forest environments. This prediction is also partly due to results that have shown the </w:t>
      </w:r>
      <w:r w:rsidR="009E7EC3">
        <w:rPr>
          <w:rFonts w:ascii="Arial" w:eastAsia="Arial" w:hAnsi="Arial" w:cs="Arial"/>
        </w:rPr>
        <w:t>vulnerability</w:t>
      </w:r>
      <w:r w:rsidR="00D17242" w:rsidRPr="00BE679C">
        <w:rPr>
          <w:rFonts w:ascii="Arial" w:eastAsia="Arial" w:hAnsi="Arial" w:cs="Arial"/>
        </w:rPr>
        <w:t xml:space="preserve"> of forest-specialists to deforestation and landscape fragmentation (Pardini et al. 2010; Banks-Leite et al. 2014)</w:t>
      </w:r>
      <w:r w:rsidR="009E7EC3">
        <w:rPr>
          <w:rFonts w:ascii="Arial" w:eastAsia="Arial" w:hAnsi="Arial" w:cs="Arial"/>
        </w:rPr>
        <w:t>.</w:t>
      </w:r>
    </w:p>
    <w:p w14:paraId="7976A415" w14:textId="77777777" w:rsidR="00D8396D" w:rsidRDefault="00D474E6">
      <w:pPr>
        <w:spacing w:after="240" w:line="480" w:lineRule="auto"/>
        <w:ind w:firstLine="420"/>
        <w:rPr>
          <w:rFonts w:ascii="Arial" w:eastAsia="Arial" w:hAnsi="Arial" w:cs="Arial"/>
        </w:rPr>
      </w:pPr>
      <w:r>
        <w:rPr>
          <w:rFonts w:ascii="Arial" w:eastAsia="Arial" w:hAnsi="Arial" w:cs="Arial"/>
        </w:rPr>
        <w:t>In this study we assessed results from a Brazilian restoration program, to quantify the effect of edaphic conditions and the influence of neighbouring forest cover on biomass accumulation and its composition. Our main hypothesis is that total AGB recovery responds to local edaphic conditions and to the amount of forest cover in the neighbouring area. Also, we hypothesize that some species groups are particularly sensitive to local conditions, affecting the community assembly as a whole, and favouring generalists species more adapted to open anthropogenic woodlands.</w:t>
      </w:r>
    </w:p>
    <w:p w14:paraId="5781BDBA" w14:textId="77777777" w:rsidR="00D8396D" w:rsidRDefault="00D474E6">
      <w:pPr>
        <w:pStyle w:val="Heading2"/>
        <w:spacing w:line="480" w:lineRule="auto"/>
        <w:rPr>
          <w:rFonts w:ascii="Arial" w:eastAsia="Arial" w:hAnsi="Arial" w:cs="Arial"/>
        </w:rPr>
      </w:pPr>
      <w:bookmarkStart w:id="4" w:name="3znysh7" w:colFirst="0" w:colLast="0"/>
      <w:bookmarkEnd w:id="4"/>
      <w:r>
        <w:rPr>
          <w:rFonts w:ascii="Arial" w:eastAsia="Arial" w:hAnsi="Arial" w:cs="Arial"/>
        </w:rPr>
        <w:lastRenderedPageBreak/>
        <w:t>III-METHODS</w:t>
      </w:r>
    </w:p>
    <w:p w14:paraId="27586B67" w14:textId="0E92C554" w:rsidR="00D8396D" w:rsidRDefault="00D474E6">
      <w:pPr>
        <w:pStyle w:val="Heading3"/>
        <w:spacing w:line="480" w:lineRule="auto"/>
        <w:rPr>
          <w:rFonts w:ascii="Arial" w:eastAsia="Arial" w:hAnsi="Arial" w:cs="Arial"/>
        </w:rPr>
      </w:pPr>
      <w:bookmarkStart w:id="5" w:name="2et92p0" w:colFirst="0" w:colLast="0"/>
      <w:bookmarkEnd w:id="5"/>
      <w:r>
        <w:rPr>
          <w:rFonts w:ascii="Arial" w:eastAsia="Arial" w:hAnsi="Arial" w:cs="Arial"/>
        </w:rPr>
        <w:t>Study Area</w:t>
      </w:r>
    </w:p>
    <w:p w14:paraId="061D184D" w14:textId="14DCAE02" w:rsidR="00D8396D" w:rsidRDefault="00D474E6">
      <w:pPr>
        <w:spacing w:line="480" w:lineRule="auto"/>
        <w:rPr>
          <w:rFonts w:ascii="Arial" w:eastAsia="Arial" w:hAnsi="Arial" w:cs="Arial"/>
        </w:rPr>
      </w:pPr>
      <w:r>
        <w:rPr>
          <w:rFonts w:ascii="Arial" w:eastAsia="Arial" w:hAnsi="Arial" w:cs="Arial"/>
        </w:rPr>
        <w:t xml:space="preserve">In 2007 the PRMC program (“Projeto de Recuperação de Matas Ciliares”) started the implementation of over 500 restoration demonstration sites in private lands across São Paulo state, </w:t>
      </w:r>
      <w:r w:rsidR="00CC7360">
        <w:rPr>
          <w:rFonts w:ascii="Arial" w:eastAsia="Arial" w:hAnsi="Arial" w:cs="Arial"/>
        </w:rPr>
        <w:t>s</w:t>
      </w:r>
      <w:r>
        <w:rPr>
          <w:rFonts w:ascii="Arial" w:eastAsia="Arial" w:hAnsi="Arial" w:cs="Arial"/>
        </w:rPr>
        <w:t>outh</w:t>
      </w:r>
      <w:r w:rsidR="00CC7360">
        <w:rPr>
          <w:rFonts w:ascii="Arial" w:eastAsia="Arial" w:hAnsi="Arial" w:cs="Arial"/>
        </w:rPr>
        <w:t>-</w:t>
      </w:r>
      <w:r>
        <w:rPr>
          <w:rFonts w:ascii="Arial" w:eastAsia="Arial" w:hAnsi="Arial" w:cs="Arial"/>
        </w:rPr>
        <w:t xml:space="preserve">eastern Brazil (Wuetrich, 2007; </w:t>
      </w:r>
      <w:r w:rsidRPr="00D17242">
        <w:rPr>
          <w:rFonts w:ascii="Arial" w:eastAsia="Arial" w:hAnsi="Arial" w:cs="Arial"/>
        </w:rPr>
        <w:t xml:space="preserve">Chazdon, 2008). </w:t>
      </w:r>
      <w:r w:rsidR="002A71DD" w:rsidRPr="002A71DD">
        <w:rPr>
          <w:rFonts w:ascii="Arial" w:eastAsia="Arial" w:hAnsi="Arial" w:cs="Arial"/>
        </w:rPr>
        <w:t>For the present study, restoration sites were selected within the boundaries of the Serra do Mar coastal forests (Olson et al. 2001); these sites are underlain by granite-gneiss lithology in the “Atlantic plateau” geomorphic and botanical provinces (Scudeller et al. 2001).</w:t>
      </w:r>
      <w:r w:rsidR="002A71DD">
        <w:rPr>
          <w:rFonts w:ascii="Arial" w:eastAsia="Arial" w:hAnsi="Arial" w:cs="Arial"/>
        </w:rPr>
        <w:t xml:space="preserve"> Restoration sites were situated within six watersheds, and distances between watersheds ranged from 30 to 150 km (Figure 1).  </w:t>
      </w:r>
      <w:r>
        <w:rPr>
          <w:rFonts w:ascii="Arial" w:eastAsia="Arial" w:hAnsi="Arial" w:cs="Arial"/>
        </w:rPr>
        <w:t xml:space="preserve">Across the restoration sites, elevation ranges from 550 to 1510 m above sea </w:t>
      </w:r>
      <w:r w:rsidR="00EC03BC">
        <w:rPr>
          <w:rFonts w:ascii="Arial" w:eastAsia="Arial" w:hAnsi="Arial" w:cs="Arial"/>
        </w:rPr>
        <w:t>level, annual</w:t>
      </w:r>
      <w:r>
        <w:rPr>
          <w:rFonts w:ascii="Arial" w:eastAsia="Arial" w:hAnsi="Arial" w:cs="Arial"/>
        </w:rPr>
        <w:t xml:space="preserve"> precipitation ranges from </w:t>
      </w:r>
      <w:r w:rsidRPr="00BE679C">
        <w:rPr>
          <w:rFonts w:ascii="Arial" w:eastAsia="Arial" w:hAnsi="Arial" w:cs="Arial"/>
        </w:rPr>
        <w:t>1400 to 1700 mm, and the dry season (average rainfall below 50 mm/month) varies between 3 and 5 months (Hijmans et al. 2005). Deforestation of these lands was stimulated by coffee cultivation in the early 19th century, exposing the soil to rainfall and increasing surface runoff and erosion. A few decades later, coffee plantations were replaced by dairy farming (Dean, 1991). The still prevalent pastures are now spread around scattered croplands, forestry plantations, as well as urban and forest patches.</w:t>
      </w:r>
    </w:p>
    <w:p w14:paraId="2539F932" w14:textId="77777777" w:rsidR="00D8396D" w:rsidRDefault="00D8396D">
      <w:pPr>
        <w:spacing w:line="480" w:lineRule="auto"/>
        <w:rPr>
          <w:rFonts w:ascii="Arial" w:eastAsia="Arial" w:hAnsi="Arial" w:cs="Arial"/>
        </w:rPr>
      </w:pPr>
    </w:p>
    <w:p w14:paraId="3C19C7FC" w14:textId="77777777" w:rsidR="00D8396D" w:rsidRDefault="00D474E6">
      <w:pPr>
        <w:keepNext/>
        <w:spacing w:after="240" w:line="480" w:lineRule="auto"/>
        <w:ind w:firstLine="420"/>
        <w:jc w:val="center"/>
        <w:rPr>
          <w:rFonts w:ascii="Arial" w:eastAsia="Arial" w:hAnsi="Arial" w:cs="Arial"/>
        </w:rPr>
      </w:pPr>
      <w:r>
        <w:rPr>
          <w:rFonts w:ascii="Arial" w:eastAsia="Arial" w:hAnsi="Arial" w:cs="Arial"/>
          <w:noProof/>
          <w:lang w:val="en-AU" w:eastAsia="en-AU"/>
        </w:rPr>
        <w:lastRenderedPageBreak/>
        <w:drawing>
          <wp:inline distT="0" distB="0" distL="0" distR="0" wp14:anchorId="1A77176D" wp14:editId="65CA75D4">
            <wp:extent cx="5040000" cy="2159042"/>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040000" cy="2159042"/>
                    </a:xfrm>
                    <a:prstGeom prst="rect">
                      <a:avLst/>
                    </a:prstGeom>
                    <a:ln/>
                  </pic:spPr>
                </pic:pic>
              </a:graphicData>
            </a:graphic>
          </wp:inline>
        </w:drawing>
      </w:r>
    </w:p>
    <w:p w14:paraId="4419D9B3" w14:textId="7C55073C" w:rsidR="00D8396D" w:rsidRPr="00EC03BC" w:rsidRDefault="00D474E6">
      <w:pPr>
        <w:spacing w:line="480" w:lineRule="auto"/>
        <w:jc w:val="center"/>
        <w:rPr>
          <w:rFonts w:ascii="Arial" w:eastAsia="Arial" w:hAnsi="Arial" w:cs="Arial"/>
          <w:i/>
          <w:sz w:val="18"/>
          <w:szCs w:val="18"/>
        </w:rPr>
      </w:pPr>
      <w:bookmarkStart w:id="6" w:name="_Hlk491454773"/>
      <w:r w:rsidRPr="00EC03BC">
        <w:rPr>
          <w:rFonts w:ascii="Arial" w:eastAsia="Arial" w:hAnsi="Arial" w:cs="Arial"/>
          <w:i/>
          <w:sz w:val="18"/>
          <w:szCs w:val="18"/>
        </w:rPr>
        <w:t xml:space="preserve">Figure 1- </w:t>
      </w:r>
      <w:r w:rsidR="00CB615A" w:rsidRPr="009E7EC3">
        <w:rPr>
          <w:rFonts w:ascii="Arial" w:eastAsia="Arial" w:hAnsi="Arial" w:cs="Arial"/>
          <w:i/>
          <w:sz w:val="18"/>
          <w:szCs w:val="18"/>
        </w:rPr>
        <w:t xml:space="preserve">Eastern watersheds included in PRMC restoration program. Surveyed watersheds are located in the municipalities of Socorro </w:t>
      </w:r>
      <w:r w:rsidR="00CB615A" w:rsidRPr="00926811">
        <w:rPr>
          <w:rFonts w:ascii="Arial" w:eastAsia="Arial" w:hAnsi="Arial" w:cs="Arial"/>
          <w:i/>
          <w:sz w:val="16"/>
          <w:szCs w:val="16"/>
        </w:rPr>
        <w:t>(1)</w:t>
      </w:r>
      <w:r w:rsidR="00CB615A" w:rsidRPr="009E7EC3">
        <w:rPr>
          <w:rFonts w:ascii="Arial" w:eastAsia="Arial" w:hAnsi="Arial" w:cs="Arial"/>
          <w:i/>
          <w:sz w:val="18"/>
          <w:szCs w:val="18"/>
        </w:rPr>
        <w:t xml:space="preserve">, Joanópolis </w:t>
      </w:r>
      <w:r w:rsidR="00CB615A" w:rsidRPr="00926811">
        <w:rPr>
          <w:rFonts w:ascii="Arial" w:eastAsia="Arial" w:hAnsi="Arial" w:cs="Arial"/>
          <w:i/>
          <w:sz w:val="16"/>
          <w:szCs w:val="18"/>
        </w:rPr>
        <w:t>(3)</w:t>
      </w:r>
      <w:r w:rsidR="00CB615A" w:rsidRPr="009E7EC3">
        <w:rPr>
          <w:rFonts w:ascii="Arial" w:eastAsia="Arial" w:hAnsi="Arial" w:cs="Arial"/>
          <w:i/>
          <w:sz w:val="18"/>
          <w:szCs w:val="18"/>
        </w:rPr>
        <w:t xml:space="preserve">, Nazaré Paulista </w:t>
      </w:r>
      <w:r w:rsidR="00CB615A" w:rsidRPr="00926811">
        <w:rPr>
          <w:rFonts w:ascii="Arial" w:eastAsia="Arial" w:hAnsi="Arial" w:cs="Arial"/>
          <w:i/>
          <w:sz w:val="16"/>
          <w:szCs w:val="18"/>
        </w:rPr>
        <w:t>(4)</w:t>
      </w:r>
      <w:r w:rsidR="00CB615A" w:rsidRPr="009E7EC3">
        <w:rPr>
          <w:rFonts w:ascii="Arial" w:eastAsia="Arial" w:hAnsi="Arial" w:cs="Arial"/>
          <w:i/>
          <w:sz w:val="18"/>
          <w:szCs w:val="18"/>
        </w:rPr>
        <w:t xml:space="preserve">, Guaratinguetá </w:t>
      </w:r>
      <w:r w:rsidR="00CB615A" w:rsidRPr="00926811">
        <w:rPr>
          <w:rFonts w:ascii="Arial" w:eastAsia="Arial" w:hAnsi="Arial" w:cs="Arial"/>
          <w:i/>
          <w:sz w:val="16"/>
          <w:szCs w:val="18"/>
        </w:rPr>
        <w:t>(2)</w:t>
      </w:r>
      <w:r w:rsidR="00CB615A" w:rsidRPr="009E7EC3">
        <w:rPr>
          <w:rFonts w:ascii="Arial" w:eastAsia="Arial" w:hAnsi="Arial" w:cs="Arial"/>
          <w:i/>
          <w:sz w:val="18"/>
          <w:szCs w:val="18"/>
        </w:rPr>
        <w:t xml:space="preserve">, Cunha </w:t>
      </w:r>
      <w:r w:rsidR="00CB615A" w:rsidRPr="00926811">
        <w:rPr>
          <w:rFonts w:ascii="Arial" w:eastAsia="Arial" w:hAnsi="Arial" w:cs="Arial"/>
          <w:i/>
          <w:sz w:val="16"/>
          <w:szCs w:val="18"/>
        </w:rPr>
        <w:t>(5)</w:t>
      </w:r>
      <w:r w:rsidR="00CB615A" w:rsidRPr="009E7EC3">
        <w:rPr>
          <w:rFonts w:ascii="Arial" w:eastAsia="Arial" w:hAnsi="Arial" w:cs="Arial"/>
          <w:i/>
          <w:sz w:val="18"/>
          <w:szCs w:val="18"/>
        </w:rPr>
        <w:t xml:space="preserve"> and Paraibuna </w:t>
      </w:r>
      <w:r w:rsidR="00CB615A" w:rsidRPr="00926811">
        <w:rPr>
          <w:rFonts w:ascii="Arial" w:eastAsia="Arial" w:hAnsi="Arial" w:cs="Arial"/>
          <w:i/>
          <w:sz w:val="16"/>
          <w:szCs w:val="18"/>
        </w:rPr>
        <w:t>(6)</w:t>
      </w:r>
      <w:r w:rsidR="00CB615A" w:rsidRPr="009E7EC3">
        <w:rPr>
          <w:rFonts w:ascii="Arial" w:eastAsia="Arial" w:hAnsi="Arial" w:cs="Arial"/>
          <w:i/>
          <w:sz w:val="18"/>
          <w:szCs w:val="18"/>
        </w:rPr>
        <w:t>.</w:t>
      </w:r>
    </w:p>
    <w:bookmarkEnd w:id="6"/>
    <w:p w14:paraId="51B10709" w14:textId="304E1E43" w:rsidR="00D8396D" w:rsidRDefault="00D474E6">
      <w:pPr>
        <w:pStyle w:val="Heading3"/>
        <w:spacing w:line="480" w:lineRule="auto"/>
        <w:rPr>
          <w:rFonts w:ascii="Arial" w:eastAsia="Arial" w:hAnsi="Arial" w:cs="Arial"/>
        </w:rPr>
      </w:pPr>
      <w:r>
        <w:rPr>
          <w:rFonts w:ascii="Arial" w:eastAsia="Arial" w:hAnsi="Arial" w:cs="Arial"/>
        </w:rPr>
        <w:t>Study Design</w:t>
      </w:r>
    </w:p>
    <w:p w14:paraId="60ECEFC0" w14:textId="7174AABA" w:rsidR="004F09CC" w:rsidRPr="00386A5B" w:rsidRDefault="004F09CC" w:rsidP="00BE679C">
      <w:pPr>
        <w:spacing w:line="480" w:lineRule="auto"/>
        <w:ind w:firstLine="420"/>
        <w:rPr>
          <w:rFonts w:ascii="Arial" w:eastAsia="Arial" w:hAnsi="Arial" w:cs="Arial"/>
        </w:rPr>
      </w:pPr>
      <w:bookmarkStart w:id="7" w:name="tyjcwt" w:colFirst="0" w:colLast="0"/>
      <w:bookmarkEnd w:id="7"/>
      <w:r w:rsidRPr="00BE679C">
        <w:rPr>
          <w:rFonts w:ascii="Arial" w:eastAsia="Arial" w:hAnsi="Arial" w:cs="Arial"/>
        </w:rPr>
        <w:t xml:space="preserve">Surveyed sites were selected through a structured screening. </w:t>
      </w:r>
      <w:r w:rsidR="00D474E6" w:rsidRPr="00506DBE">
        <w:rPr>
          <w:rFonts w:ascii="Arial" w:eastAsia="Arial" w:hAnsi="Arial" w:cs="Arial"/>
        </w:rPr>
        <w:t xml:space="preserve">Different restoration protocols were tested by PRMC, but the subset of </w:t>
      </w:r>
      <w:r w:rsidR="007F121C">
        <w:rPr>
          <w:rFonts w:ascii="Arial" w:eastAsia="Arial" w:hAnsi="Arial" w:cs="Arial"/>
        </w:rPr>
        <w:t>32</w:t>
      </w:r>
      <w:r w:rsidR="00D474E6" w:rsidRPr="00506DBE">
        <w:rPr>
          <w:rFonts w:ascii="Arial" w:eastAsia="Arial" w:hAnsi="Arial" w:cs="Arial"/>
        </w:rPr>
        <w:t xml:space="preserve"> sites considered here exclusively followed the central one: a species-rich tree plantation with the same (1666 trees/ha) density.</w:t>
      </w:r>
      <w:r w:rsidRPr="00BE679C">
        <w:rPr>
          <w:rFonts w:ascii="Arial" w:eastAsia="Arial" w:hAnsi="Arial" w:cs="Arial"/>
        </w:rPr>
        <w:t xml:space="preserve"> After excluding sites with alternative protocols, we also excluded locations with extreme conditions on variables that are not modelled here, i.e. elevation, perimeter-area ratio, terrain slope and surface area. Then, we selected sites that had been established over anthropogenic grasslands, formerly used for grazing, with a minimum distance between sites of 1 km. </w:t>
      </w:r>
      <w:r w:rsidR="00A04030" w:rsidRPr="00A04030">
        <w:rPr>
          <w:rFonts w:ascii="Arial" w:eastAsia="Arial" w:hAnsi="Arial" w:cs="Arial"/>
        </w:rPr>
        <w:t>Finally, we excluded watersheds with less than three eligible sites, leading to the analysed selection of 32 restoration sites from six watersheds</w:t>
      </w:r>
      <w:r w:rsidR="00A04030">
        <w:rPr>
          <w:rFonts w:ascii="Arial" w:eastAsia="Arial" w:hAnsi="Arial" w:cs="Arial"/>
        </w:rPr>
        <w:t>.</w:t>
      </w:r>
    </w:p>
    <w:p w14:paraId="0F67B5CB" w14:textId="2E705755" w:rsidR="00D8396D" w:rsidRDefault="00557FAC">
      <w:pPr>
        <w:spacing w:after="240" w:line="480" w:lineRule="auto"/>
        <w:ind w:firstLine="420"/>
        <w:rPr>
          <w:rFonts w:ascii="Arial" w:eastAsia="Arial" w:hAnsi="Arial" w:cs="Arial"/>
        </w:rPr>
      </w:pPr>
      <w:r>
        <w:rPr>
          <w:rFonts w:ascii="Arial" w:eastAsia="Arial" w:hAnsi="Arial" w:cs="Arial"/>
        </w:rPr>
        <w:t>Restoration sites were implemented between the autumn of</w:t>
      </w:r>
      <w:r w:rsidR="00DE52A9" w:rsidRPr="00DE52A9">
        <w:rPr>
          <w:rFonts w:ascii="Arial" w:eastAsia="Arial" w:hAnsi="Arial" w:cs="Arial"/>
        </w:rPr>
        <w:t xml:space="preserve"> 2007</w:t>
      </w:r>
      <w:r>
        <w:rPr>
          <w:rFonts w:ascii="Arial" w:eastAsia="Arial" w:hAnsi="Arial" w:cs="Arial"/>
        </w:rPr>
        <w:t xml:space="preserve"> and the subsequent summer</w:t>
      </w:r>
      <w:r w:rsidR="00DE52A9" w:rsidRPr="00DE52A9">
        <w:rPr>
          <w:rFonts w:ascii="Arial" w:eastAsia="Arial" w:hAnsi="Arial" w:cs="Arial"/>
        </w:rPr>
        <w:t xml:space="preserve"> following similar protocols.</w:t>
      </w:r>
      <w:r w:rsidR="00DE52A9">
        <w:rPr>
          <w:rFonts w:ascii="Arial" w:eastAsia="Arial" w:hAnsi="Arial" w:cs="Arial"/>
        </w:rPr>
        <w:t xml:space="preserve"> </w:t>
      </w:r>
      <w:r w:rsidR="00D474E6" w:rsidRPr="00386A5B">
        <w:rPr>
          <w:rFonts w:ascii="Arial" w:eastAsia="Arial" w:hAnsi="Arial" w:cs="Arial"/>
        </w:rPr>
        <w:t xml:space="preserve">Several local nurseries produced the seedlings; they </w:t>
      </w:r>
      <w:r>
        <w:rPr>
          <w:rFonts w:ascii="Arial" w:eastAsia="Arial" w:hAnsi="Arial" w:cs="Arial"/>
        </w:rPr>
        <w:t>adopted</w:t>
      </w:r>
      <w:r w:rsidR="00D474E6" w:rsidRPr="00386A5B">
        <w:rPr>
          <w:rFonts w:ascii="Arial" w:eastAsia="Arial" w:hAnsi="Arial" w:cs="Arial"/>
        </w:rPr>
        <w:t xml:space="preserve"> a broad species list and supplied individuals about 40 cm tall. Planting holes were prepared systematically before planting, typically in </w:t>
      </w:r>
      <w:r w:rsidR="00D474E6" w:rsidRPr="00D17242">
        <w:rPr>
          <w:rFonts w:ascii="Arial" w:eastAsia="Arial" w:hAnsi="Arial" w:cs="Arial"/>
        </w:rPr>
        <w:t xml:space="preserve">a 3 by 2 m grid and species were mixed at random. Dead saplings were replaced </w:t>
      </w:r>
      <w:r w:rsidR="00D474E6" w:rsidRPr="004F09CC">
        <w:rPr>
          <w:rFonts w:ascii="Arial" w:eastAsia="Arial" w:hAnsi="Arial" w:cs="Arial"/>
        </w:rPr>
        <w:t xml:space="preserve">in the following growing-season, with species </w:t>
      </w:r>
      <w:r w:rsidR="00D474E6" w:rsidRPr="004F09CC">
        <w:rPr>
          <w:rFonts w:ascii="Arial" w:eastAsia="Arial" w:hAnsi="Arial" w:cs="Arial"/>
        </w:rPr>
        <w:lastRenderedPageBreak/>
        <w:t>identity selected at random from the general planting list. Native and invasive grasses were controlled during the implementation phase, through herbicide application and manual control, but woody individuals were maintained. We note that detailed records of the species introduced at each site were taxonomically imprecise, and that the supply of species especially</w:t>
      </w:r>
      <w:r w:rsidR="00D474E6">
        <w:rPr>
          <w:rFonts w:ascii="Arial" w:eastAsia="Arial" w:hAnsi="Arial" w:cs="Arial"/>
        </w:rPr>
        <w:t xml:space="preserve"> varied for replacement, but the mix of species was never planned to be different. It is therefore unlikely that there were major biases in planted species abundances among sites at project initiation. We have therefore assumed that the planted species-groups mix was essentially identical at all sites, and subsequent differences in growth and community assembly are due to site and landscape factors (Data for each species are listed in Appendix </w:t>
      </w:r>
      <w:r w:rsidR="00D474E6">
        <w:rPr>
          <w:rFonts w:ascii="Arial" w:eastAsia="Arial" w:hAnsi="Arial" w:cs="Arial"/>
          <w:u w:val="single"/>
        </w:rPr>
        <w:t>S</w:t>
      </w:r>
      <w:r w:rsidR="00D474E6">
        <w:rPr>
          <w:rFonts w:ascii="Arial" w:eastAsia="Arial" w:hAnsi="Arial" w:cs="Arial"/>
        </w:rPr>
        <w:t>1).</w:t>
      </w:r>
    </w:p>
    <w:p w14:paraId="17FF92FF" w14:textId="56874F66" w:rsidR="00D8396D" w:rsidRPr="004F09CC" w:rsidRDefault="00D474E6">
      <w:pPr>
        <w:pStyle w:val="Heading3"/>
        <w:spacing w:line="480" w:lineRule="auto"/>
        <w:rPr>
          <w:rFonts w:ascii="Arial" w:eastAsia="Arial" w:hAnsi="Arial" w:cs="Arial"/>
        </w:rPr>
      </w:pPr>
      <w:r w:rsidRPr="004F09CC">
        <w:rPr>
          <w:rFonts w:ascii="Arial" w:eastAsia="Arial" w:hAnsi="Arial" w:cs="Arial"/>
        </w:rPr>
        <w:t>Data Collection</w:t>
      </w:r>
      <w:r w:rsidRPr="004F09CC">
        <w:rPr>
          <w:rFonts w:ascii="Arial" w:eastAsia="Arial" w:hAnsi="Arial" w:cs="Arial"/>
        </w:rPr>
        <w:tab/>
      </w:r>
    </w:p>
    <w:p w14:paraId="42B70BA4" w14:textId="0EDEAB2B" w:rsidR="00D8396D" w:rsidRDefault="00DE52A9">
      <w:pPr>
        <w:spacing w:after="240" w:line="480" w:lineRule="auto"/>
        <w:ind w:firstLine="420"/>
        <w:rPr>
          <w:rFonts w:ascii="Arial" w:eastAsia="Arial" w:hAnsi="Arial" w:cs="Arial"/>
        </w:rPr>
      </w:pPr>
      <w:r w:rsidRPr="00386A5B">
        <w:rPr>
          <w:rFonts w:ascii="Arial" w:eastAsia="Arial" w:hAnsi="Arial" w:cs="Arial"/>
        </w:rPr>
        <w:t xml:space="preserve">These restoration trials were surveyed seven growing-seasons after the beginning of implementation. </w:t>
      </w:r>
      <w:r w:rsidR="00D474E6" w:rsidRPr="004F09CC">
        <w:rPr>
          <w:rFonts w:ascii="Arial" w:eastAsia="Arial" w:hAnsi="Arial" w:cs="Arial"/>
        </w:rPr>
        <w:t>Four vegetation plots (4 x 50</w:t>
      </w:r>
      <w:r w:rsidR="00274BBA">
        <w:rPr>
          <w:rFonts w:ascii="Arial" w:eastAsia="Arial" w:hAnsi="Arial" w:cs="Arial"/>
        </w:rPr>
        <w:t xml:space="preserve"> </w:t>
      </w:r>
      <w:r w:rsidR="00D474E6" w:rsidRPr="004F09CC">
        <w:rPr>
          <w:rFonts w:ascii="Arial" w:eastAsia="Arial" w:hAnsi="Arial" w:cs="Arial"/>
        </w:rPr>
        <w:t xml:space="preserve">m) were randomly </w:t>
      </w:r>
      <w:r w:rsidR="007F121C">
        <w:rPr>
          <w:rFonts w:ascii="Arial" w:eastAsia="Arial" w:hAnsi="Arial" w:cs="Arial"/>
        </w:rPr>
        <w:t xml:space="preserve">demarcated </w:t>
      </w:r>
      <w:r w:rsidR="00D474E6" w:rsidRPr="004F09CC">
        <w:rPr>
          <w:rFonts w:ascii="Arial" w:eastAsia="Arial" w:hAnsi="Arial" w:cs="Arial"/>
        </w:rPr>
        <w:t xml:space="preserve">within each restoration site.  Woody individuals with diameter at breast height (DBH) </w:t>
      </w:r>
      <w:r w:rsidR="00545CFD" w:rsidRPr="00545CFD">
        <w:rPr>
          <w:rFonts w:ascii="Arial" w:eastAsia="Arial" w:hAnsi="Arial" w:cs="Arial"/>
        </w:rPr>
        <w:t>≥</w:t>
      </w:r>
      <w:r w:rsidR="00D474E6" w:rsidRPr="00545CFD">
        <w:rPr>
          <w:rFonts w:ascii="Arial" w:eastAsia="Arial" w:hAnsi="Arial" w:cs="Arial"/>
        </w:rPr>
        <w:t xml:space="preserve"> </w:t>
      </w:r>
      <w:r w:rsidR="00D474E6" w:rsidRPr="004F09CC">
        <w:rPr>
          <w:rFonts w:ascii="Arial" w:eastAsia="Arial" w:hAnsi="Arial" w:cs="Arial"/>
        </w:rPr>
        <w:t>5 cm</w:t>
      </w:r>
      <w:r w:rsidR="00D474E6">
        <w:rPr>
          <w:rFonts w:ascii="Arial" w:eastAsia="Arial" w:hAnsi="Arial" w:cs="Arial"/>
        </w:rPr>
        <w:t xml:space="preserve"> had their height and DBH recorded, and were identified to the species level; multi-stemmed individuals were included when the sum of cross-section areas at breast height was larger than the corresponding cut-off area (i.e.</w:t>
      </w:r>
      <w:r w:rsidR="00A04030">
        <w:rPr>
          <w:rFonts w:ascii="Arial" w:eastAsia="Arial" w:hAnsi="Arial" w:cs="Arial"/>
        </w:rPr>
        <w:t xml:space="preserve"> </w:t>
      </w:r>
      <w:r w:rsidR="00D474E6">
        <w:rPr>
          <w:rFonts w:ascii="Arial" w:eastAsia="Arial" w:hAnsi="Arial" w:cs="Arial"/>
        </w:rPr>
        <w:t xml:space="preserve">19.6.cm²). Those that could not be consistently identified in the field had leaf/floral samples taken to allow further identification at the ESA herbarium (ESALQ-USP). We have adopted the minimum DBH of 5 cm as required by the allometric equation we used (Chave et al. 2014), as detailed further below. </w:t>
      </w:r>
    </w:p>
    <w:p w14:paraId="0346659A" w14:textId="6794C838" w:rsidR="00D8396D" w:rsidRDefault="00D474E6">
      <w:pPr>
        <w:spacing w:after="240" w:line="480" w:lineRule="auto"/>
        <w:ind w:firstLine="420"/>
        <w:rPr>
          <w:rFonts w:ascii="Arial" w:eastAsia="Arial" w:hAnsi="Arial" w:cs="Arial"/>
        </w:rPr>
      </w:pPr>
      <w:r>
        <w:rPr>
          <w:rFonts w:ascii="Arial" w:eastAsia="Arial" w:hAnsi="Arial" w:cs="Arial"/>
        </w:rPr>
        <w:t>Composite soil samples were taken inside each vegetation plot at 0-20</w:t>
      </w:r>
      <w:r w:rsidR="007F121C">
        <w:rPr>
          <w:rFonts w:ascii="Arial" w:eastAsia="Arial" w:hAnsi="Arial" w:cs="Arial"/>
        </w:rPr>
        <w:t xml:space="preserve"> </w:t>
      </w:r>
      <w:r>
        <w:rPr>
          <w:rFonts w:ascii="Arial" w:eastAsia="Arial" w:hAnsi="Arial" w:cs="Arial"/>
        </w:rPr>
        <w:t>cm depth, by combining three sub-samples collected in the major axis of the parcel, at least 20 m apart from each other. These samples were analysed at IAC (Instituto Agronômico de Campinas), using their standard procedure for fertility and tex</w:t>
      </w:r>
      <w:r w:rsidR="009B64BF">
        <w:rPr>
          <w:rFonts w:ascii="Arial" w:eastAsia="Arial" w:hAnsi="Arial" w:cs="Arial"/>
        </w:rPr>
        <w:t xml:space="preserve">ture evaluation, which included </w:t>
      </w:r>
      <w:r>
        <w:rPr>
          <w:rFonts w:ascii="Arial" w:eastAsia="Arial" w:hAnsi="Arial" w:cs="Arial"/>
        </w:rPr>
        <w:t>pH (CaCl</w:t>
      </w:r>
      <w:r>
        <w:rPr>
          <w:rFonts w:ascii="Arial" w:eastAsia="Arial" w:hAnsi="Arial" w:cs="Arial"/>
          <w:vertAlign w:val="subscript"/>
        </w:rPr>
        <w:t>2</w:t>
      </w:r>
      <w:r>
        <w:rPr>
          <w:rFonts w:ascii="Arial" w:eastAsia="Arial" w:hAnsi="Arial" w:cs="Arial"/>
        </w:rPr>
        <w:t xml:space="preserve">); </w:t>
      </w:r>
      <w:r>
        <w:rPr>
          <w:rFonts w:ascii="Arial" w:eastAsia="Arial" w:hAnsi="Arial" w:cs="Arial"/>
        </w:rPr>
        <w:lastRenderedPageBreak/>
        <w:t>H+Al (potential acidity SMP-Buffer); P, K, Ca and Mg (Resin); Organic Matter (photometry), and Sand contribution (0.053-2.000</w:t>
      </w:r>
      <w:r w:rsidR="00274BBA">
        <w:rPr>
          <w:rFonts w:ascii="Arial" w:eastAsia="Arial" w:hAnsi="Arial" w:cs="Arial"/>
        </w:rPr>
        <w:t xml:space="preserve"> </w:t>
      </w:r>
      <w:r>
        <w:rPr>
          <w:rFonts w:ascii="Arial" w:eastAsia="Arial" w:hAnsi="Arial" w:cs="Arial"/>
        </w:rPr>
        <w:t xml:space="preserve">mm).  </w:t>
      </w:r>
    </w:p>
    <w:p w14:paraId="3EB48250" w14:textId="750B0D37" w:rsidR="00D8396D" w:rsidRDefault="00D474E6">
      <w:pPr>
        <w:spacing w:after="240" w:line="480" w:lineRule="auto"/>
        <w:ind w:firstLine="420"/>
        <w:rPr>
          <w:rFonts w:ascii="Arial" w:eastAsia="Arial" w:hAnsi="Arial" w:cs="Arial"/>
        </w:rPr>
      </w:pPr>
      <w:r>
        <w:rPr>
          <w:rFonts w:ascii="Arial" w:eastAsia="Arial" w:hAnsi="Arial" w:cs="Arial"/>
        </w:rPr>
        <w:t xml:space="preserve">To assess the amount of habitat around the restoration sites, land-cover maps were produced using visual interpretation of orthophotos taken in 2005, two years before the plantings. The mapped area included an </w:t>
      </w:r>
      <w:r w:rsidR="00D1797A">
        <w:rPr>
          <w:rFonts w:ascii="Arial" w:eastAsia="Arial" w:hAnsi="Arial" w:cs="Arial"/>
        </w:rPr>
        <w:t>800-m</w:t>
      </w:r>
      <w:r>
        <w:rPr>
          <w:rFonts w:ascii="Arial" w:eastAsia="Arial" w:hAnsi="Arial" w:cs="Arial"/>
        </w:rPr>
        <w:t xml:space="preserve"> wide external buffer-zone for each restoration site, within which we measured the percentages of forest habitat cover from each plot at 0-200</w:t>
      </w:r>
      <w:r w:rsidR="007F121C">
        <w:rPr>
          <w:rFonts w:ascii="Arial" w:eastAsia="Arial" w:hAnsi="Arial" w:cs="Arial"/>
        </w:rPr>
        <w:t xml:space="preserve"> </w:t>
      </w:r>
      <w:r>
        <w:rPr>
          <w:rFonts w:ascii="Arial" w:eastAsia="Arial" w:hAnsi="Arial" w:cs="Arial"/>
        </w:rPr>
        <w:t>m, 0-400</w:t>
      </w:r>
      <w:r w:rsidR="007F121C">
        <w:rPr>
          <w:rFonts w:ascii="Arial" w:eastAsia="Arial" w:hAnsi="Arial" w:cs="Arial"/>
        </w:rPr>
        <w:t xml:space="preserve"> </w:t>
      </w:r>
      <w:r>
        <w:rPr>
          <w:rFonts w:ascii="Arial" w:eastAsia="Arial" w:hAnsi="Arial" w:cs="Arial"/>
        </w:rPr>
        <w:t>m and 0-800</w:t>
      </w:r>
      <w:r w:rsidR="007F121C">
        <w:rPr>
          <w:rFonts w:ascii="Arial" w:eastAsia="Arial" w:hAnsi="Arial" w:cs="Arial"/>
        </w:rPr>
        <w:t xml:space="preserve"> </w:t>
      </w:r>
      <w:r>
        <w:rPr>
          <w:rFonts w:ascii="Arial" w:eastAsia="Arial" w:hAnsi="Arial" w:cs="Arial"/>
        </w:rPr>
        <w:t>m buffers; here we refer to the variable assessed through the resulting ratios as “forest cover”.</w:t>
      </w:r>
    </w:p>
    <w:p w14:paraId="2DF807D7" w14:textId="4A07054B" w:rsidR="00D8396D" w:rsidRDefault="00D474E6">
      <w:pPr>
        <w:spacing w:after="240" w:line="480" w:lineRule="auto"/>
        <w:ind w:firstLine="420"/>
        <w:rPr>
          <w:rFonts w:ascii="Arial" w:eastAsia="Arial" w:hAnsi="Arial" w:cs="Arial"/>
        </w:rPr>
      </w:pPr>
      <w:r>
        <w:rPr>
          <w:rFonts w:ascii="Arial" w:eastAsia="Arial" w:hAnsi="Arial" w:cs="Arial"/>
        </w:rPr>
        <w:t>AGB of each surveyed tree was calculated with the allometric equation for AGB of tropical forests proposed by Chave et al. (2014). Accordingly, field measured tree height</w:t>
      </w:r>
      <w:r w:rsidR="00F47D41">
        <w:rPr>
          <w:rFonts w:ascii="Arial" w:eastAsia="Arial" w:hAnsi="Arial" w:cs="Arial"/>
        </w:rPr>
        <w:t>,</w:t>
      </w:r>
      <w:r>
        <w:rPr>
          <w:rFonts w:ascii="Arial" w:eastAsia="Arial" w:hAnsi="Arial" w:cs="Arial"/>
        </w:rPr>
        <w:t xml:space="preserve"> and DBH was combined with specific wood density (WD) gathered from literature. Compiled data and references are presented in the Supplementary Information Appendix S1, in addition to WD information; this dataset included specific maximum height (H</w:t>
      </w:r>
      <w:r>
        <w:rPr>
          <w:rFonts w:ascii="Arial" w:eastAsia="Arial" w:hAnsi="Arial" w:cs="Arial"/>
          <w:vertAlign w:val="subscript"/>
        </w:rPr>
        <w:t>max</w:t>
      </w:r>
      <w:r>
        <w:rPr>
          <w:rFonts w:ascii="Arial" w:eastAsia="Arial" w:hAnsi="Arial" w:cs="Arial"/>
        </w:rPr>
        <w:t>) and a species categorization on specialization in moist-forests. Individual biomass was summed to give a plot level biomass estimate. We evaluated variability in plot</w:t>
      </w:r>
      <w:r w:rsidR="007F121C">
        <w:rPr>
          <w:rFonts w:ascii="Arial" w:eastAsia="Arial" w:hAnsi="Arial" w:cs="Arial"/>
        </w:rPr>
        <w:t>-</w:t>
      </w:r>
      <w:r>
        <w:rPr>
          <w:rFonts w:ascii="Arial" w:eastAsia="Arial" w:hAnsi="Arial" w:cs="Arial"/>
        </w:rPr>
        <w:t>level estimates across restoration sites against predictor variables (i.e. soil properties and neighbouring forest cover).</w:t>
      </w:r>
    </w:p>
    <w:p w14:paraId="1F51863E" w14:textId="0610CB32" w:rsidR="00D8396D" w:rsidRDefault="00D474E6">
      <w:pPr>
        <w:spacing w:after="240" w:line="480" w:lineRule="auto"/>
        <w:ind w:firstLine="420"/>
        <w:rPr>
          <w:rFonts w:ascii="Arial" w:eastAsia="Arial" w:hAnsi="Arial" w:cs="Arial"/>
        </w:rPr>
      </w:pPr>
      <w:r>
        <w:rPr>
          <w:rFonts w:ascii="Arial" w:eastAsia="Arial" w:hAnsi="Arial" w:cs="Arial"/>
        </w:rPr>
        <w:t>We then investigated whether these same predictors had effects on the abundance of particular species groups in the restoration sites</w:t>
      </w:r>
      <w:r w:rsidR="00AB240C">
        <w:rPr>
          <w:rFonts w:ascii="Arial" w:eastAsia="Arial" w:hAnsi="Arial" w:cs="Arial"/>
        </w:rPr>
        <w:t>.</w:t>
      </w:r>
      <w:r w:rsidR="00AB240C" w:rsidRPr="00AB240C">
        <w:t xml:space="preserve"> </w:t>
      </w:r>
      <w:r w:rsidR="00AB240C" w:rsidRPr="00AB240C">
        <w:rPr>
          <w:rFonts w:ascii="Arial" w:eastAsia="Arial" w:hAnsi="Arial" w:cs="Arial"/>
        </w:rPr>
        <w:t>Species were grouped on the basis of traits that we expected to influence assembly given the environmental conditions, as noted in the Introduction.</w:t>
      </w:r>
      <w:r>
        <w:rPr>
          <w:rFonts w:ascii="Arial" w:eastAsia="Arial" w:hAnsi="Arial" w:cs="Arial"/>
        </w:rPr>
        <w:t xml:space="preserve"> Traits were wood density, height and habitat preference. Other traits could have been considered, but these were the traits that were best quantified among the surveyed species. </w:t>
      </w:r>
    </w:p>
    <w:p w14:paraId="7AFE1C02" w14:textId="79989B7A" w:rsidR="00D8396D" w:rsidRDefault="00D474E6">
      <w:pPr>
        <w:spacing w:after="240" w:line="480" w:lineRule="auto"/>
        <w:ind w:firstLine="420"/>
        <w:rPr>
          <w:rFonts w:ascii="Arial" w:eastAsia="Arial" w:hAnsi="Arial" w:cs="Arial"/>
        </w:rPr>
      </w:pPr>
      <w:r>
        <w:rPr>
          <w:rFonts w:ascii="Arial" w:eastAsia="Arial" w:hAnsi="Arial" w:cs="Arial"/>
        </w:rPr>
        <w:lastRenderedPageBreak/>
        <w:t>The median density of 0.58 g/cm</w:t>
      </w:r>
      <w:r w:rsidRPr="0008579B">
        <w:rPr>
          <w:rFonts w:ascii="Arial" w:eastAsia="Arial" w:hAnsi="Arial" w:cs="Arial"/>
          <w:vertAlign w:val="superscript"/>
        </w:rPr>
        <w:t>3</w:t>
      </w:r>
      <w:r>
        <w:rPr>
          <w:rFonts w:ascii="Arial" w:eastAsia="Arial" w:hAnsi="Arial" w:cs="Arial"/>
        </w:rPr>
        <w:t xml:space="preserve">, observed among sampled species, was used as a cut-off density to group soft- and hard-woods. </w:t>
      </w:r>
      <w:r w:rsidR="00D1797A">
        <w:rPr>
          <w:rFonts w:ascii="Arial" w:eastAsia="Arial" w:hAnsi="Arial" w:cs="Arial"/>
        </w:rPr>
        <w:t>Likewise,</w:t>
      </w:r>
      <w:r>
        <w:rPr>
          <w:rFonts w:ascii="Arial" w:eastAsia="Arial" w:hAnsi="Arial" w:cs="Arial"/>
        </w:rPr>
        <w:t xml:space="preserve"> 14 m, the median H</w:t>
      </w:r>
      <w:r>
        <w:rPr>
          <w:rFonts w:ascii="Arial" w:eastAsia="Arial" w:hAnsi="Arial" w:cs="Arial"/>
          <w:vertAlign w:val="subscript"/>
        </w:rPr>
        <w:t>max</w:t>
      </w:r>
      <w:r>
        <w:rPr>
          <w:rFonts w:ascii="Arial" w:eastAsia="Arial" w:hAnsi="Arial" w:cs="Arial"/>
        </w:rPr>
        <w:t xml:space="preserve"> in our species poll, was adopted as the cut-off height to separate the groups of “shorter” and “taller” species. To classify sampled species according to habitat specialization, we first accessed the geographical distribution of identified species through the Global Biodiversity Information Facility (GBIF, 2016), and then we compared each occurrence map to the terrestrial ecoregions map (Olson et al. 2001). Species solely found within broadleaf tropical moist-forests domains, with no presence recorded at natural non-moist-forest habitats were considered as “forest-specialists”, while “generalist-species” presented a broader distribution that overlapped with moist-forest habitats but also included records from non-forest natural habitats such as tropical savannas and scrublands.</w:t>
      </w:r>
    </w:p>
    <w:p w14:paraId="01856EE5" w14:textId="1B46C336" w:rsidR="00D8396D" w:rsidRDefault="00D474E6">
      <w:pPr>
        <w:pStyle w:val="Heading3"/>
        <w:spacing w:line="480" w:lineRule="auto"/>
        <w:rPr>
          <w:rFonts w:ascii="Arial" w:eastAsia="Arial" w:hAnsi="Arial" w:cs="Arial"/>
        </w:rPr>
      </w:pPr>
      <w:bookmarkStart w:id="8" w:name="3dy6vkm" w:colFirst="0" w:colLast="0"/>
      <w:bookmarkEnd w:id="8"/>
      <w:r>
        <w:rPr>
          <w:rFonts w:ascii="Arial" w:eastAsia="Arial" w:hAnsi="Arial" w:cs="Arial"/>
        </w:rPr>
        <w:t>Data Analysis</w:t>
      </w:r>
    </w:p>
    <w:p w14:paraId="76FBE589" w14:textId="77777777" w:rsidR="00D8396D" w:rsidRDefault="00D474E6">
      <w:pPr>
        <w:pStyle w:val="Heading4"/>
        <w:spacing w:line="480" w:lineRule="auto"/>
        <w:rPr>
          <w:rFonts w:ascii="Arial" w:eastAsia="Arial" w:hAnsi="Arial" w:cs="Arial"/>
        </w:rPr>
      </w:pPr>
      <w:r>
        <w:rPr>
          <w:rFonts w:ascii="Arial" w:eastAsia="Arial" w:hAnsi="Arial" w:cs="Arial"/>
        </w:rPr>
        <w:t>Aboveground biomass</w:t>
      </w:r>
    </w:p>
    <w:p w14:paraId="38A1A844" w14:textId="77777777" w:rsidR="00D8396D" w:rsidRDefault="00D474E6">
      <w:pPr>
        <w:spacing w:after="240" w:line="480" w:lineRule="auto"/>
        <w:ind w:firstLine="420"/>
        <w:rPr>
          <w:rFonts w:ascii="Arial" w:eastAsia="Arial" w:hAnsi="Arial" w:cs="Arial"/>
        </w:rPr>
      </w:pPr>
      <w:r>
        <w:rPr>
          <w:rFonts w:ascii="Arial" w:eastAsia="Arial" w:hAnsi="Arial" w:cs="Arial"/>
        </w:rPr>
        <w:t>All data were analysed using R.3.2.0 (R foundation for Statistical Computing, Vienna, AT). Linear mixed models were used (</w:t>
      </w:r>
      <w:r>
        <w:rPr>
          <w:rFonts w:ascii="Arial" w:eastAsia="Arial" w:hAnsi="Arial" w:cs="Arial"/>
          <w:i/>
        </w:rPr>
        <w:t>nlme</w:t>
      </w:r>
      <w:r>
        <w:rPr>
          <w:rFonts w:ascii="Arial" w:eastAsia="Arial" w:hAnsi="Arial" w:cs="Arial"/>
        </w:rPr>
        <w:t xml:space="preserve"> package, version 3.1-128, R-Core team) to evaluate the effects of edaphic conditions and forest cover on AGB density (ton/ha). For greater goodness of fit and to satisfy model assumptions on error distributions, we square-root-transformed AGB. </w:t>
      </w:r>
    </w:p>
    <w:p w14:paraId="2CC10282" w14:textId="0309A53C" w:rsidR="00D8396D" w:rsidRDefault="00D474E6">
      <w:pPr>
        <w:spacing w:after="240" w:line="480" w:lineRule="auto"/>
        <w:ind w:firstLine="420"/>
        <w:rPr>
          <w:rFonts w:ascii="Arial" w:eastAsia="Arial" w:hAnsi="Arial" w:cs="Arial"/>
        </w:rPr>
      </w:pPr>
      <w:r>
        <w:rPr>
          <w:rFonts w:ascii="Arial" w:eastAsia="Arial" w:hAnsi="Arial" w:cs="Arial"/>
        </w:rPr>
        <w:t>Forest cover</w:t>
      </w:r>
      <w:r w:rsidR="00AB240C">
        <w:rPr>
          <w:rFonts w:ascii="Arial" w:eastAsia="Arial" w:hAnsi="Arial" w:cs="Arial"/>
        </w:rPr>
        <w:t xml:space="preserve"> expressed in percentages</w:t>
      </w:r>
      <w:r>
        <w:rPr>
          <w:rFonts w:ascii="Arial" w:eastAsia="Arial" w:hAnsi="Arial" w:cs="Arial"/>
        </w:rPr>
        <w:t>, soil chemical fertility and sand-percentage, were tested as fixed effects, as well as the interaction between chemical fertility and sand percentage. While forest cover and sand contribution were expressed in percentages</w:t>
      </w:r>
      <w:r w:rsidR="009800E0">
        <w:rPr>
          <w:rFonts w:ascii="Arial" w:eastAsia="Arial" w:hAnsi="Arial" w:cs="Arial"/>
        </w:rPr>
        <w:t>,</w:t>
      </w:r>
      <w:r>
        <w:rPr>
          <w:rFonts w:ascii="Arial" w:eastAsia="Arial" w:hAnsi="Arial" w:cs="Arial"/>
        </w:rPr>
        <w:t xml:space="preserve"> soil chemical properties needed to be translated into a single dichotomous categorical variable, given the correlation among chemical aspects, which collectively define broad groups of soil chemistry. To separate soil groups, we first quantified soil chemistry dissimilarity between </w:t>
      </w:r>
      <w:r>
        <w:rPr>
          <w:rFonts w:ascii="Arial" w:eastAsia="Arial" w:hAnsi="Arial" w:cs="Arial"/>
        </w:rPr>
        <w:lastRenderedPageBreak/>
        <w:t xml:space="preserve">sites using pairwise Gower distances, and then </w:t>
      </w:r>
      <w:r w:rsidRPr="00BE679C">
        <w:rPr>
          <w:rFonts w:ascii="Arial" w:eastAsia="Arial" w:hAnsi="Arial" w:cs="Arial"/>
        </w:rPr>
        <w:t xml:space="preserve">we performed hierarchical clustering of the sites based on the full dissimilarity matrix with average linkage using the </w:t>
      </w:r>
      <w:r w:rsidRPr="00BE679C">
        <w:rPr>
          <w:rFonts w:ascii="Arial" w:eastAsia="Arial" w:hAnsi="Arial" w:cs="Arial"/>
          <w:i/>
        </w:rPr>
        <w:t>vegan</w:t>
      </w:r>
      <w:r w:rsidRPr="00BE679C">
        <w:rPr>
          <w:rFonts w:ascii="Arial" w:eastAsia="Arial" w:hAnsi="Arial" w:cs="Arial"/>
        </w:rPr>
        <w:t xml:space="preserve"> package </w:t>
      </w:r>
      <w:r w:rsidR="00990DA2" w:rsidRPr="00BE679C">
        <w:rPr>
          <w:rFonts w:ascii="Arial" w:eastAsia="Arial" w:hAnsi="Arial" w:cs="Arial"/>
        </w:rPr>
        <w:t>(</w:t>
      </w:r>
      <w:r w:rsidR="007C2696" w:rsidRPr="00BE679C">
        <w:rPr>
          <w:rFonts w:ascii="Arial" w:eastAsia="Arial" w:hAnsi="Arial" w:cs="Arial"/>
        </w:rPr>
        <w:t>version 2.3-5</w:t>
      </w:r>
      <w:r w:rsidR="00990DA2" w:rsidRPr="00BE679C">
        <w:rPr>
          <w:rFonts w:ascii="Arial" w:eastAsia="Arial" w:hAnsi="Arial" w:cs="Arial"/>
        </w:rPr>
        <w:t>, https://cran.r-project.org/web/packages/vegan</w:t>
      </w:r>
      <w:r w:rsidRPr="00BE679C">
        <w:rPr>
          <w:rFonts w:ascii="Arial" w:eastAsia="Arial" w:hAnsi="Arial" w:cs="Arial"/>
        </w:rPr>
        <w:t>). We retained two chemical-fertility groups: one of sites with soils that were richer in nutrients and less acidic (‘fertile soils’ hereafter), and the other included</w:t>
      </w:r>
      <w:r>
        <w:rPr>
          <w:rFonts w:ascii="Arial" w:eastAsia="Arial" w:hAnsi="Arial" w:cs="Arial"/>
        </w:rPr>
        <w:t xml:space="preserve"> more acidic soils with lower nutrient concentrations (‘poor/acidic soils’ hereafter) (see Appendix S2). Then the mixed</w:t>
      </w:r>
      <w:r w:rsidR="009800E0">
        <w:rPr>
          <w:rFonts w:ascii="Arial" w:eastAsia="Arial" w:hAnsi="Arial" w:cs="Arial"/>
        </w:rPr>
        <w:t>-</w:t>
      </w:r>
      <w:r>
        <w:rPr>
          <w:rFonts w:ascii="Arial" w:eastAsia="Arial" w:hAnsi="Arial" w:cs="Arial"/>
        </w:rPr>
        <w:t xml:space="preserve">effect model was completed by adding restoration site as a random term to capture between-site variation that was not explained by the other predictors. </w:t>
      </w:r>
    </w:p>
    <w:p w14:paraId="038A0BD9" w14:textId="2B1C7C69" w:rsidR="00D8396D" w:rsidRDefault="00D474E6">
      <w:pPr>
        <w:spacing w:after="240" w:line="480" w:lineRule="auto"/>
        <w:ind w:firstLine="420"/>
        <w:rPr>
          <w:rFonts w:ascii="Arial" w:eastAsia="Arial" w:hAnsi="Arial" w:cs="Arial"/>
        </w:rPr>
      </w:pPr>
      <w:r>
        <w:rPr>
          <w:rFonts w:ascii="Arial" w:eastAsia="Arial" w:hAnsi="Arial" w:cs="Arial"/>
        </w:rPr>
        <w:t>To explore whether plot-level variation in biomass was derived from population differences (i.e. differences in stem density (trees/ha)), and/or average tree growth rates (i.e. differences in stem volume (cm</w:t>
      </w:r>
      <w:r>
        <w:rPr>
          <w:rFonts w:ascii="Arial" w:eastAsia="Arial" w:hAnsi="Arial" w:cs="Arial"/>
          <w:vertAlign w:val="superscript"/>
        </w:rPr>
        <w:t>3</w:t>
      </w:r>
      <w:r>
        <w:rPr>
          <w:rFonts w:ascii="Arial" w:eastAsia="Arial" w:hAnsi="Arial" w:cs="Arial"/>
        </w:rPr>
        <w:t>/tree)), models with the same fixed and random terms were fitted to these additional response variables. Likewise, we investigated if the evaluated environmental filters affected species richness, and/or diversity. Richness (a simple tally of the number of species in a plot) and Shannon diversity index (H</w:t>
      </w:r>
      <w:r w:rsidR="009800E0">
        <w:rPr>
          <w:rFonts w:ascii="Arial" w:eastAsia="Arial" w:hAnsi="Arial" w:cs="Arial"/>
        </w:rPr>
        <w:t>’</w:t>
      </w:r>
      <w:r>
        <w:rPr>
          <w:rFonts w:ascii="Arial" w:eastAsia="Arial" w:hAnsi="Arial" w:cs="Arial"/>
        </w:rPr>
        <w:t>) were calculated at plot level, with R package “vegan”. Then, Shannon diversity was transformed to “effective species number” (exp(H</w:t>
      </w:r>
      <w:r w:rsidR="009800E0">
        <w:rPr>
          <w:rFonts w:ascii="Arial" w:eastAsia="Arial" w:hAnsi="Arial" w:cs="Arial"/>
        </w:rPr>
        <w:t>’</w:t>
      </w:r>
      <w:r>
        <w:rPr>
          <w:rFonts w:ascii="Arial" w:eastAsia="Arial" w:hAnsi="Arial" w:cs="Arial"/>
        </w:rPr>
        <w:t xml:space="preserve">)), where species are weighted precisely by their abundances (Jost, 2006). We also tested if any of these models could be significantly improved by nesting within watershed as an additional random term, or by adding restoration site areal extent as a fixed term (restoration sites </w:t>
      </w:r>
      <w:r w:rsidR="00D1797A">
        <w:rPr>
          <w:rFonts w:ascii="Arial" w:eastAsia="Arial" w:hAnsi="Arial" w:cs="Arial"/>
        </w:rPr>
        <w:t>vary</w:t>
      </w:r>
      <w:r>
        <w:rPr>
          <w:rFonts w:ascii="Arial" w:eastAsia="Arial" w:hAnsi="Arial" w:cs="Arial"/>
        </w:rPr>
        <w:t xml:space="preserve"> from 0.2 to 3.5 ha). However, the effect of including these variables was never significant</w:t>
      </w:r>
      <w:r w:rsidR="00F95ED9">
        <w:rPr>
          <w:rFonts w:ascii="Arial" w:eastAsia="Arial" w:hAnsi="Arial" w:cs="Arial"/>
        </w:rPr>
        <w:t>,</w:t>
      </w:r>
      <w:r>
        <w:rPr>
          <w:rFonts w:ascii="Arial" w:eastAsia="Arial" w:hAnsi="Arial" w:cs="Arial"/>
        </w:rPr>
        <w:t xml:space="preserve"> and the</w:t>
      </w:r>
      <w:r w:rsidR="000D651E">
        <w:rPr>
          <w:rFonts w:ascii="Arial" w:eastAsia="Arial" w:hAnsi="Arial" w:cs="Arial"/>
        </w:rPr>
        <w:t>y</w:t>
      </w:r>
      <w:r>
        <w:rPr>
          <w:rFonts w:ascii="Arial" w:eastAsia="Arial" w:hAnsi="Arial" w:cs="Arial"/>
        </w:rPr>
        <w:t xml:space="preserve"> were dropped from the final presented models.</w:t>
      </w:r>
    </w:p>
    <w:p w14:paraId="61F53668" w14:textId="77777777" w:rsidR="00D8396D" w:rsidRDefault="00D474E6">
      <w:pPr>
        <w:pStyle w:val="Heading4"/>
        <w:spacing w:line="480" w:lineRule="auto"/>
        <w:rPr>
          <w:rFonts w:ascii="Arial" w:eastAsia="Arial" w:hAnsi="Arial" w:cs="Arial"/>
        </w:rPr>
      </w:pPr>
      <w:r>
        <w:rPr>
          <w:rFonts w:ascii="Arial" w:eastAsia="Arial" w:hAnsi="Arial" w:cs="Arial"/>
        </w:rPr>
        <w:t xml:space="preserve">Plant community assemblage </w:t>
      </w:r>
    </w:p>
    <w:p w14:paraId="173524ED" w14:textId="64E6D331" w:rsidR="00D8396D" w:rsidRDefault="00D474E6">
      <w:pPr>
        <w:spacing w:after="240" w:line="480" w:lineRule="auto"/>
        <w:ind w:firstLine="420"/>
        <w:rPr>
          <w:rFonts w:ascii="Arial" w:eastAsia="Arial" w:hAnsi="Arial" w:cs="Arial"/>
        </w:rPr>
      </w:pPr>
      <w:r w:rsidRPr="00EC03BC">
        <w:rPr>
          <w:rFonts w:ascii="Arial" w:eastAsia="Arial Unicode MS" w:hAnsi="Arial" w:cs="Arial"/>
        </w:rPr>
        <w:t>As explained above, sampled species were bundled in contrasting groups according to specific wood density (≤0.58</w:t>
      </w:r>
      <w:r w:rsidR="009800E0">
        <w:rPr>
          <w:rFonts w:ascii="Arial" w:eastAsia="Arial Unicode MS" w:hAnsi="Arial" w:cs="Arial"/>
        </w:rPr>
        <w:t xml:space="preserve"> </w:t>
      </w:r>
      <w:r w:rsidRPr="00EC03BC">
        <w:rPr>
          <w:rFonts w:ascii="Arial" w:eastAsia="Arial Unicode MS" w:hAnsi="Arial" w:cs="Arial"/>
        </w:rPr>
        <w:t>g</w:t>
      </w:r>
      <w:r w:rsidR="009800E0">
        <w:rPr>
          <w:rFonts w:ascii="Arial" w:eastAsia="Arial Unicode MS" w:hAnsi="Arial" w:cs="Arial"/>
        </w:rPr>
        <w:t>/</w:t>
      </w:r>
      <w:r w:rsidR="009800E0" w:rsidRPr="00EC03BC">
        <w:rPr>
          <w:rFonts w:ascii="Arial" w:eastAsia="Arial Unicode MS" w:hAnsi="Arial" w:cs="Arial"/>
        </w:rPr>
        <w:t>cm</w:t>
      </w:r>
      <w:r w:rsidR="009800E0" w:rsidRPr="00EC03BC">
        <w:rPr>
          <w:rFonts w:ascii="Arial" w:eastAsia="Arial" w:hAnsi="Arial" w:cs="Arial"/>
          <w:vertAlign w:val="superscript"/>
        </w:rPr>
        <w:t>3</w:t>
      </w:r>
      <w:r w:rsidRPr="00EC03BC">
        <w:rPr>
          <w:rFonts w:ascii="Arial" w:eastAsia="Arial Unicode MS" w:hAnsi="Arial" w:cs="Arial"/>
        </w:rPr>
        <w:t xml:space="preserve"> or &gt;0.58</w:t>
      </w:r>
      <w:r w:rsidR="009800E0">
        <w:rPr>
          <w:rFonts w:ascii="Arial" w:eastAsia="Arial Unicode MS" w:hAnsi="Arial" w:cs="Arial"/>
        </w:rPr>
        <w:t xml:space="preserve"> </w:t>
      </w:r>
      <w:r w:rsidRPr="00EC03BC">
        <w:rPr>
          <w:rFonts w:ascii="Arial" w:eastAsia="Arial Unicode MS" w:hAnsi="Arial" w:cs="Arial"/>
        </w:rPr>
        <w:t>g</w:t>
      </w:r>
      <w:r w:rsidR="009800E0">
        <w:rPr>
          <w:rFonts w:ascii="Arial" w:eastAsia="Arial Unicode MS" w:hAnsi="Arial" w:cs="Arial"/>
        </w:rPr>
        <w:t>/</w:t>
      </w:r>
      <w:r w:rsidRPr="00EC03BC">
        <w:rPr>
          <w:rFonts w:ascii="Arial" w:eastAsia="Arial Unicode MS" w:hAnsi="Arial" w:cs="Arial"/>
        </w:rPr>
        <w:t>cm</w:t>
      </w:r>
      <w:r w:rsidRPr="00EC03BC">
        <w:rPr>
          <w:rFonts w:ascii="Arial" w:eastAsia="Arial" w:hAnsi="Arial" w:cs="Arial"/>
          <w:vertAlign w:val="superscript"/>
        </w:rPr>
        <w:t>3</w:t>
      </w:r>
      <w:r w:rsidRPr="00EC03BC">
        <w:rPr>
          <w:rFonts w:ascii="Arial" w:eastAsia="Arial" w:hAnsi="Arial" w:cs="Arial"/>
        </w:rPr>
        <w:t>), specific H</w:t>
      </w:r>
      <w:r w:rsidRPr="00EC03BC">
        <w:rPr>
          <w:rFonts w:ascii="Arial" w:eastAsia="Arial" w:hAnsi="Arial" w:cs="Arial"/>
          <w:vertAlign w:val="subscript"/>
        </w:rPr>
        <w:t>max</w:t>
      </w:r>
      <w:r w:rsidRPr="00EC03BC">
        <w:rPr>
          <w:rFonts w:ascii="Arial" w:eastAsia="Arial Unicode MS" w:hAnsi="Arial" w:cs="Arial"/>
        </w:rPr>
        <w:t xml:space="preserve"> (≤14</w:t>
      </w:r>
      <w:r w:rsidR="009800E0">
        <w:rPr>
          <w:rFonts w:ascii="Arial" w:eastAsia="Arial Unicode MS" w:hAnsi="Arial" w:cs="Arial"/>
        </w:rPr>
        <w:t xml:space="preserve"> </w:t>
      </w:r>
      <w:r w:rsidRPr="00EC03BC">
        <w:rPr>
          <w:rFonts w:ascii="Arial" w:eastAsia="Arial Unicode MS" w:hAnsi="Arial" w:cs="Arial"/>
        </w:rPr>
        <w:t>m or &gt;14</w:t>
      </w:r>
      <w:r w:rsidR="009800E0">
        <w:rPr>
          <w:rFonts w:ascii="Arial" w:eastAsia="Arial Unicode MS" w:hAnsi="Arial" w:cs="Arial"/>
        </w:rPr>
        <w:t xml:space="preserve"> </w:t>
      </w:r>
      <w:r w:rsidRPr="00EC03BC">
        <w:rPr>
          <w:rFonts w:ascii="Arial" w:eastAsia="Arial Unicode MS" w:hAnsi="Arial" w:cs="Arial"/>
        </w:rPr>
        <w:t xml:space="preserve">m) and habitat preference (forest-specialists or generalists). Then we evaluated the particular effect </w:t>
      </w:r>
      <w:r w:rsidRPr="00EC03BC">
        <w:rPr>
          <w:rFonts w:ascii="Arial" w:eastAsia="Arial Unicode MS" w:hAnsi="Arial" w:cs="Arial"/>
        </w:rPr>
        <w:lastRenderedPageBreak/>
        <w:t>of AGB predictors we have tested (i.e. forest cover, soil chemical group and sand percentage) on the relative abundance of each contrasting group. Pairwise comparison for each species grouping (i.e. WD, H</w:t>
      </w:r>
      <w:r w:rsidRPr="00EC03BC">
        <w:rPr>
          <w:rFonts w:ascii="Arial" w:eastAsia="Arial" w:hAnsi="Arial" w:cs="Arial"/>
          <w:vertAlign w:val="subscript"/>
        </w:rPr>
        <w:t>max</w:t>
      </w:r>
      <w:r w:rsidRPr="00EC03BC">
        <w:rPr>
          <w:rFonts w:ascii="Arial" w:eastAsia="Arial" w:hAnsi="Arial" w:cs="Arial"/>
        </w:rPr>
        <w:t xml:space="preserve"> and habitat preference) was</w:t>
      </w:r>
      <w:r>
        <w:rPr>
          <w:rFonts w:ascii="Arial" w:eastAsia="Arial" w:hAnsi="Arial" w:cs="Arial"/>
        </w:rPr>
        <w:t xml:space="preserve"> enabled through linear models for multivariate abundance data using the mvabund package (</w:t>
      </w:r>
      <w:r w:rsidR="007C2696">
        <w:rPr>
          <w:rFonts w:ascii="Arial" w:eastAsia="Arial" w:hAnsi="Arial" w:cs="Arial"/>
        </w:rPr>
        <w:t xml:space="preserve">version 3.11.9, </w:t>
      </w:r>
      <w:r w:rsidR="002E11AC" w:rsidRPr="002E11AC">
        <w:rPr>
          <w:rFonts w:ascii="Arial" w:eastAsia="Arial" w:hAnsi="Arial" w:cs="Arial"/>
        </w:rPr>
        <w:t>https://cran.r-p</w:t>
      </w:r>
      <w:r w:rsidR="0087306A">
        <w:rPr>
          <w:rFonts w:ascii="Arial" w:eastAsia="Arial" w:hAnsi="Arial" w:cs="Arial"/>
        </w:rPr>
        <w:t>roject.org/web/packages/mvabund</w:t>
      </w:r>
      <w:r>
        <w:rPr>
          <w:rFonts w:ascii="Arial" w:eastAsia="Arial" w:hAnsi="Arial" w:cs="Arial"/>
        </w:rPr>
        <w:t xml:space="preserve">). Model-based analysis of multivariate abundance data was performed at </w:t>
      </w:r>
      <w:r w:rsidR="0008579B">
        <w:rPr>
          <w:rFonts w:ascii="Arial" w:eastAsia="Arial" w:hAnsi="Arial" w:cs="Arial"/>
        </w:rPr>
        <w:t xml:space="preserve">the </w:t>
      </w:r>
      <w:r>
        <w:rPr>
          <w:rFonts w:ascii="Arial" w:eastAsia="Arial" w:hAnsi="Arial" w:cs="Arial"/>
        </w:rPr>
        <w:t>site scale, by considering average values for response and explanatory variables among the four plots of each one of the 32 restoration sites.</w:t>
      </w:r>
    </w:p>
    <w:p w14:paraId="6CD65636" w14:textId="14271FC3" w:rsidR="00D8396D" w:rsidRDefault="00D474E6">
      <w:pPr>
        <w:spacing w:after="240" w:line="480" w:lineRule="auto"/>
        <w:ind w:firstLine="420"/>
        <w:rPr>
          <w:rFonts w:ascii="Arial" w:eastAsia="Arial" w:hAnsi="Arial" w:cs="Arial"/>
        </w:rPr>
      </w:pPr>
      <w:r>
        <w:rPr>
          <w:rFonts w:ascii="Arial" w:eastAsia="Arial" w:hAnsi="Arial" w:cs="Arial"/>
        </w:rPr>
        <w:t>Only individuals identified at the species level were considered in these analyses, representing 84.9% of the total AGB surveyed. Species list, groups and references are presented in Appendix S1. Significance of the fitted effects were tested with ANOVA using adjusted p-values (9,999 permutations) and then predicted abundances were estimated, also using the mvabund package. Lastly, a Spearman’s rank correlation test was used to investigate whether there was association between traits-based groupings and if any considered group was related to higher or lower total biomass.</w:t>
      </w:r>
    </w:p>
    <w:p w14:paraId="75B645B5" w14:textId="77777777" w:rsidR="00D8396D" w:rsidRDefault="00D474E6">
      <w:pPr>
        <w:pStyle w:val="Heading2"/>
        <w:spacing w:line="480" w:lineRule="auto"/>
        <w:rPr>
          <w:rFonts w:ascii="Arial" w:eastAsia="Arial" w:hAnsi="Arial" w:cs="Arial"/>
        </w:rPr>
      </w:pPr>
      <w:bookmarkStart w:id="9" w:name="1t3h5sf" w:colFirst="0" w:colLast="0"/>
      <w:bookmarkEnd w:id="9"/>
      <w:r>
        <w:rPr>
          <w:rFonts w:ascii="Arial" w:eastAsia="Arial" w:hAnsi="Arial" w:cs="Arial"/>
        </w:rPr>
        <w:t>IV-RESULTS</w:t>
      </w:r>
    </w:p>
    <w:p w14:paraId="6C9D26C3" w14:textId="6B280F5F" w:rsidR="00D8396D" w:rsidRDefault="00D474E6">
      <w:pPr>
        <w:pStyle w:val="Heading3"/>
        <w:spacing w:line="480" w:lineRule="auto"/>
        <w:rPr>
          <w:rFonts w:ascii="Arial" w:eastAsia="Arial" w:hAnsi="Arial" w:cs="Arial"/>
        </w:rPr>
      </w:pPr>
      <w:r>
        <w:rPr>
          <w:rFonts w:ascii="Arial" w:eastAsia="Arial" w:hAnsi="Arial" w:cs="Arial"/>
        </w:rPr>
        <w:t>Variation in potential explanatory variables and above ground biomass</w:t>
      </w:r>
    </w:p>
    <w:p w14:paraId="63E50A56" w14:textId="1267E4DF" w:rsidR="00D8396D" w:rsidRDefault="00D474E6">
      <w:pPr>
        <w:spacing w:after="240" w:line="480" w:lineRule="auto"/>
        <w:ind w:firstLine="720"/>
        <w:rPr>
          <w:rFonts w:ascii="Arial" w:eastAsia="Arial" w:hAnsi="Arial" w:cs="Arial"/>
        </w:rPr>
      </w:pPr>
      <w:r>
        <w:rPr>
          <w:rFonts w:ascii="Arial" w:eastAsia="Arial" w:hAnsi="Arial" w:cs="Arial"/>
        </w:rPr>
        <w:t xml:space="preserve">Among the 128 plots, AGB ranged from zero to 104.7 ton/ha, with a median of 10.4 ton/ha. Averaging plots across restoration sites led to AGB ranging from 0.4 to 84.4 ton/ha (median = 12.0 t/ha). Stem density ranged from 0 to 1800 individuals/ha (median = 425.0 individuals/ha), thereby </w:t>
      </w:r>
      <w:r w:rsidR="0087306A">
        <w:rPr>
          <w:rFonts w:ascii="Arial" w:eastAsia="Arial" w:hAnsi="Arial" w:cs="Arial"/>
        </w:rPr>
        <w:t xml:space="preserve">ranging </w:t>
      </w:r>
      <w:r>
        <w:rPr>
          <w:rFonts w:ascii="Arial" w:eastAsia="Arial" w:hAnsi="Arial" w:cs="Arial"/>
        </w:rPr>
        <w:t xml:space="preserve">between no recruitment at all, and 8% higher than the initial plantation density. In total 1216 individuals were sampled, 12 could not be identified due the condition of the plants, and 1092 were identified up to the species level. About half of species (53 of a total of 104 species) had fewer than </w:t>
      </w:r>
      <w:r w:rsidR="00BB5215">
        <w:rPr>
          <w:rFonts w:ascii="Arial" w:eastAsia="Arial" w:hAnsi="Arial" w:cs="Arial"/>
        </w:rPr>
        <w:t>four</w:t>
      </w:r>
      <w:r>
        <w:rPr>
          <w:rFonts w:ascii="Arial" w:eastAsia="Arial" w:hAnsi="Arial" w:cs="Arial"/>
        </w:rPr>
        <w:t xml:space="preserve"> individuals in the entire survey.</w:t>
      </w:r>
    </w:p>
    <w:p w14:paraId="64CA7D0D" w14:textId="545939C7" w:rsidR="00D8396D" w:rsidRDefault="00D474E6">
      <w:pPr>
        <w:spacing w:after="240" w:line="480" w:lineRule="auto"/>
        <w:ind w:firstLine="720"/>
        <w:rPr>
          <w:rFonts w:ascii="Arial" w:eastAsia="Arial" w:hAnsi="Arial" w:cs="Arial"/>
        </w:rPr>
      </w:pPr>
      <w:r>
        <w:rPr>
          <w:rFonts w:ascii="Arial" w:eastAsia="Arial" w:hAnsi="Arial" w:cs="Arial"/>
        </w:rPr>
        <w:lastRenderedPageBreak/>
        <w:t>Sand percentage ranged from 10% to 67% (median = 51.8%). The two soil categories based on acid</w:t>
      </w:r>
      <w:r w:rsidR="0087306A">
        <w:rPr>
          <w:rFonts w:ascii="Arial" w:eastAsia="Arial" w:hAnsi="Arial" w:cs="Arial"/>
        </w:rPr>
        <w:t>it</w:t>
      </w:r>
      <w:r>
        <w:rPr>
          <w:rFonts w:ascii="Arial" w:eastAsia="Arial" w:hAnsi="Arial" w:cs="Arial"/>
        </w:rPr>
        <w:t xml:space="preserve">y and nutrient </w:t>
      </w:r>
      <w:r w:rsidR="00D1797A">
        <w:rPr>
          <w:rFonts w:ascii="Arial" w:eastAsia="Arial" w:hAnsi="Arial" w:cs="Arial"/>
        </w:rPr>
        <w:t>concentrations (</w:t>
      </w:r>
      <w:r>
        <w:rPr>
          <w:rFonts w:ascii="Arial" w:eastAsia="Arial" w:hAnsi="Arial" w:cs="Arial"/>
        </w:rPr>
        <w:t xml:space="preserve">‘chemical fertility’ </w:t>
      </w:r>
      <w:r w:rsidR="00D1797A">
        <w:rPr>
          <w:rFonts w:ascii="Arial" w:eastAsia="Arial" w:hAnsi="Arial" w:cs="Arial"/>
        </w:rPr>
        <w:t>hereafter) contrasted</w:t>
      </w:r>
      <w:r>
        <w:rPr>
          <w:rFonts w:ascii="Arial" w:eastAsia="Arial" w:hAnsi="Arial" w:cs="Arial"/>
        </w:rPr>
        <w:t xml:space="preserve"> better in  Ca, Mg, and P concentrations (acidic/poor medians (in mmol/dm</w:t>
      </w:r>
      <w:r>
        <w:rPr>
          <w:rFonts w:ascii="Arial" w:eastAsia="Arial" w:hAnsi="Arial" w:cs="Arial"/>
          <w:vertAlign w:val="superscript"/>
        </w:rPr>
        <w:t>3</w:t>
      </w:r>
      <w:r>
        <w:rPr>
          <w:rFonts w:ascii="Arial" w:eastAsia="Arial" w:hAnsi="Arial" w:cs="Arial"/>
        </w:rPr>
        <w:t>): Ca = 6.0, Mg = 2.0 and P = 4.0;  fertile medians: Ca = 25.0, Mg = 8.0, and P = 7.0). Also, “poor/acidic” soils presented a median pH of 4.2, (</w:t>
      </w:r>
      <w:r w:rsidR="009349E6">
        <w:rPr>
          <w:rFonts w:ascii="Arial" w:eastAsia="Arial" w:hAnsi="Arial" w:cs="Arial"/>
        </w:rPr>
        <w:t>interquartile range</w:t>
      </w:r>
      <w:r w:rsidR="004E35C9">
        <w:rPr>
          <w:rFonts w:ascii="Arial" w:eastAsia="Arial" w:hAnsi="Arial" w:cs="Arial"/>
        </w:rPr>
        <w:t>, 4.0</w:t>
      </w:r>
      <w:r>
        <w:rPr>
          <w:rFonts w:ascii="Arial" w:eastAsia="Arial" w:hAnsi="Arial" w:cs="Arial"/>
        </w:rPr>
        <w:t xml:space="preserve"> </w:t>
      </w:r>
      <w:r w:rsidR="009349E6">
        <w:rPr>
          <w:rFonts w:ascii="Arial" w:eastAsia="Arial" w:hAnsi="Arial" w:cs="Arial"/>
        </w:rPr>
        <w:t xml:space="preserve">to </w:t>
      </w:r>
      <w:r>
        <w:rPr>
          <w:rFonts w:ascii="Arial" w:eastAsia="Arial" w:hAnsi="Arial" w:cs="Arial"/>
        </w:rPr>
        <w:t>4.3); while fertile soils presented a median pH of 4.8, (</w:t>
      </w:r>
      <w:r w:rsidR="009349E6">
        <w:rPr>
          <w:rFonts w:ascii="Arial" w:eastAsia="Arial" w:hAnsi="Arial" w:cs="Arial"/>
        </w:rPr>
        <w:t xml:space="preserve">interquartile range, </w:t>
      </w:r>
      <w:r>
        <w:rPr>
          <w:rFonts w:ascii="Arial" w:eastAsia="Arial" w:hAnsi="Arial" w:cs="Arial"/>
        </w:rPr>
        <w:t xml:space="preserve">4.5 </w:t>
      </w:r>
      <w:r w:rsidR="009349E6">
        <w:rPr>
          <w:rFonts w:ascii="Arial" w:eastAsia="Arial" w:hAnsi="Arial" w:cs="Arial"/>
        </w:rPr>
        <w:t xml:space="preserve">to </w:t>
      </w:r>
      <w:r>
        <w:rPr>
          <w:rFonts w:ascii="Arial" w:eastAsia="Arial" w:hAnsi="Arial" w:cs="Arial"/>
        </w:rPr>
        <w:t>4.9). Detailed information on the soil analysis is provided in the supplementary material (Appendix S2). Forest cover within the 200</w:t>
      </w:r>
      <w:r w:rsidR="00274BBA">
        <w:rPr>
          <w:rFonts w:ascii="Arial" w:eastAsia="Arial" w:hAnsi="Arial" w:cs="Arial"/>
        </w:rPr>
        <w:t xml:space="preserve">-m </w:t>
      </w:r>
      <w:r>
        <w:rPr>
          <w:rFonts w:ascii="Arial" w:eastAsia="Arial" w:hAnsi="Arial" w:cs="Arial"/>
        </w:rPr>
        <w:t xml:space="preserve">buffer ranged from 0% to 50% (median=10.4%), average forest cover for each restoration site for each of the buffer range is provided in Supplementary Material (Appendix S3). </w:t>
      </w:r>
    </w:p>
    <w:p w14:paraId="472C4692" w14:textId="1182E85E" w:rsidR="00D8396D" w:rsidRDefault="00D474E6">
      <w:pPr>
        <w:pStyle w:val="Heading3"/>
        <w:spacing w:line="480" w:lineRule="auto"/>
        <w:rPr>
          <w:rFonts w:ascii="Arial" w:eastAsia="Arial" w:hAnsi="Arial" w:cs="Arial"/>
        </w:rPr>
      </w:pPr>
      <w:r>
        <w:rPr>
          <w:rFonts w:ascii="Arial" w:eastAsia="Arial" w:hAnsi="Arial" w:cs="Arial"/>
        </w:rPr>
        <w:t>Biomass Model</w:t>
      </w:r>
    </w:p>
    <w:p w14:paraId="089C29A2" w14:textId="5CD6B8E0" w:rsidR="00D8396D" w:rsidRDefault="00D474E6">
      <w:pPr>
        <w:spacing w:after="240" w:line="480" w:lineRule="auto"/>
        <w:ind w:firstLine="420"/>
        <w:rPr>
          <w:rFonts w:ascii="Arial" w:eastAsia="Arial" w:hAnsi="Arial" w:cs="Arial"/>
        </w:rPr>
      </w:pPr>
      <w:r>
        <w:rPr>
          <w:rFonts w:ascii="Arial" w:eastAsia="Arial" w:hAnsi="Arial" w:cs="Arial"/>
        </w:rPr>
        <w:t xml:space="preserve">AGB was significantly influenced by environmental factors acting </w:t>
      </w:r>
      <w:r w:rsidR="000D651E">
        <w:rPr>
          <w:rFonts w:ascii="Arial" w:eastAsia="Arial" w:hAnsi="Arial" w:cs="Arial"/>
        </w:rPr>
        <w:t>at</w:t>
      </w:r>
      <w:r>
        <w:rPr>
          <w:rFonts w:ascii="Arial" w:eastAsia="Arial" w:hAnsi="Arial" w:cs="Arial"/>
        </w:rPr>
        <w:t xml:space="preserve"> a local scale. In particular, AGB decreased as sand percentage increased, but the effect depended on chemical fertility. The effect of increasing sand percentage was minor on acidic/poor soils because they showed low AGB along the entire sand-percentage gradient, but the decline in AGB was strong on fertile soils (Table 1; Figure 2). On the other hand, neither chemical fertility nor sand percentages presented any significant interactions with forest cover. AGB also increased as forest cover increased within 200</w:t>
      </w:r>
      <w:r w:rsidR="009349E6">
        <w:rPr>
          <w:rFonts w:ascii="Arial" w:eastAsia="Arial" w:hAnsi="Arial" w:cs="Arial"/>
        </w:rPr>
        <w:t xml:space="preserve"> </w:t>
      </w:r>
      <w:r>
        <w:rPr>
          <w:rFonts w:ascii="Arial" w:eastAsia="Arial" w:hAnsi="Arial" w:cs="Arial"/>
        </w:rPr>
        <w:t xml:space="preserve">m of the site. Interestingly, no significant effect from forest cover was detected with enlarged buffer zones. The absence of </w:t>
      </w:r>
      <w:r w:rsidR="009349E6">
        <w:rPr>
          <w:rFonts w:ascii="Arial" w:eastAsia="Arial" w:hAnsi="Arial" w:cs="Arial"/>
        </w:rPr>
        <w:t xml:space="preserve">a </w:t>
      </w:r>
      <w:r>
        <w:rPr>
          <w:rFonts w:ascii="Arial" w:eastAsia="Arial" w:hAnsi="Arial" w:cs="Arial"/>
        </w:rPr>
        <w:t>significant forest cover e</w:t>
      </w:r>
      <w:r w:rsidR="00BB5215">
        <w:rPr>
          <w:rFonts w:ascii="Arial" w:eastAsia="Arial" w:hAnsi="Arial" w:cs="Arial"/>
        </w:rPr>
        <w:t>ffect with 400-m and 800-m buffer zones</w:t>
      </w:r>
      <w:r>
        <w:rPr>
          <w:rFonts w:ascii="Arial" w:eastAsia="Arial" w:hAnsi="Arial" w:cs="Arial"/>
        </w:rPr>
        <w:t xml:space="preserve"> was observed with AGB, tree density, and mean stem volume as response variables (results not shown). </w:t>
      </w:r>
    </w:p>
    <w:p w14:paraId="69F5D01D" w14:textId="77777777" w:rsidR="00D8396D" w:rsidRDefault="00D474E6">
      <w:pPr>
        <w:spacing w:after="240" w:line="480" w:lineRule="auto"/>
        <w:ind w:firstLine="420"/>
        <w:rPr>
          <w:rFonts w:ascii="Arial" w:eastAsia="Arial" w:hAnsi="Arial" w:cs="Arial"/>
        </w:rPr>
      </w:pPr>
      <w:r>
        <w:rPr>
          <w:rFonts w:ascii="Arial" w:eastAsia="Arial" w:hAnsi="Arial" w:cs="Arial"/>
        </w:rPr>
        <w:t xml:space="preserve">Survival of planted species at the restoration sites appeared to drive AGB variability: stem density was related to the same set of explanatory variables as AGB. In contrast, growth of trees (as represented by stem volume) was only influenced by forest cover and, </w:t>
      </w:r>
      <w:r>
        <w:rPr>
          <w:rFonts w:ascii="Arial" w:eastAsia="Arial" w:hAnsi="Arial" w:cs="Arial"/>
        </w:rPr>
        <w:lastRenderedPageBreak/>
        <w:t>surprisingly, not by the edaphic factors at any given site. This is despite the fact that higher stem volumes of any given individual will be associated with higher AGB for any given wood density.</w:t>
      </w:r>
    </w:p>
    <w:p w14:paraId="163DE572" w14:textId="7C713CD7" w:rsidR="00D8396D" w:rsidRDefault="00D474E6">
      <w:pPr>
        <w:spacing w:after="240" w:line="480" w:lineRule="auto"/>
        <w:rPr>
          <w:rFonts w:ascii="Arial" w:eastAsia="Arial" w:hAnsi="Arial" w:cs="Arial"/>
        </w:rPr>
      </w:pPr>
      <w:r>
        <w:rPr>
          <w:rFonts w:ascii="Arial" w:eastAsia="Arial" w:hAnsi="Arial" w:cs="Arial"/>
        </w:rPr>
        <w:t>AGB correlated strongly with species richness and Shannon diversity (exp(H</w:t>
      </w:r>
      <w:r w:rsidR="009349E6">
        <w:rPr>
          <w:rFonts w:ascii="Arial" w:eastAsia="Arial" w:hAnsi="Arial" w:cs="Arial"/>
        </w:rPr>
        <w:t>’</w:t>
      </w:r>
      <w:r>
        <w:rPr>
          <w:rFonts w:ascii="Arial" w:eastAsia="Arial" w:hAnsi="Arial" w:cs="Arial"/>
        </w:rPr>
        <w:t xml:space="preserve">)); however, species richness and Shannon diversity were solely associated with the interaction between </w:t>
      </w:r>
      <w:r w:rsidR="009349E6">
        <w:rPr>
          <w:rFonts w:ascii="Arial" w:eastAsia="Arial" w:hAnsi="Arial" w:cs="Arial"/>
        </w:rPr>
        <w:t>s</w:t>
      </w:r>
      <w:r>
        <w:rPr>
          <w:rFonts w:ascii="Arial" w:eastAsia="Arial" w:hAnsi="Arial" w:cs="Arial"/>
        </w:rPr>
        <w:t>and percentage and chemical fertility and were not associated with any single environmental predictors (Table 1).</w:t>
      </w:r>
    </w:p>
    <w:p w14:paraId="3B859365" w14:textId="4481AB3A" w:rsidR="00473DD7" w:rsidRDefault="00473DD7">
      <w:pPr>
        <w:rPr>
          <w:rFonts w:ascii="Arial" w:eastAsia="Arial" w:hAnsi="Arial" w:cs="Arial"/>
        </w:rPr>
      </w:pPr>
      <w:r>
        <w:rPr>
          <w:rFonts w:ascii="Arial" w:eastAsia="Arial" w:hAnsi="Arial" w:cs="Arial"/>
        </w:rPr>
        <w:br w:type="page"/>
      </w:r>
    </w:p>
    <w:p w14:paraId="5F97F205" w14:textId="77777777" w:rsidR="00D8396D" w:rsidRDefault="00D474E6" w:rsidP="008026BD">
      <w:pPr>
        <w:keepNext/>
        <w:spacing w:after="0" w:line="360" w:lineRule="auto"/>
        <w:jc w:val="center"/>
        <w:rPr>
          <w:rFonts w:ascii="Arial" w:eastAsia="Arial" w:hAnsi="Arial" w:cs="Arial"/>
        </w:rPr>
      </w:pPr>
      <w:r>
        <w:rPr>
          <w:rFonts w:ascii="Arial" w:eastAsia="Arial" w:hAnsi="Arial" w:cs="Arial"/>
          <w:smallCaps/>
          <w:sz w:val="18"/>
          <w:szCs w:val="18"/>
        </w:rPr>
        <w:lastRenderedPageBreak/>
        <w:t>Table 1</w:t>
      </w:r>
      <w:r>
        <w:rPr>
          <w:rFonts w:ascii="Arial" w:eastAsia="Arial" w:hAnsi="Arial" w:cs="Arial"/>
          <w:i/>
          <w:smallCaps/>
          <w:sz w:val="18"/>
          <w:szCs w:val="18"/>
        </w:rPr>
        <w:t xml:space="preserve"> Effects of soil sand percentage, soil fertility group and forest cover on the plot-level biomass (ton/ha), stem density (trees/ha), stem volume (average cm³/tree) and Shannon diversity. Results show an ANOVA table resulting from linear mixed models; see text for model structure.</w:t>
      </w:r>
    </w:p>
    <w:tbl>
      <w:tblPr>
        <w:tblW w:w="6197" w:type="dxa"/>
        <w:jc w:val="center"/>
        <w:tblLook w:val="04A0" w:firstRow="1" w:lastRow="0" w:firstColumn="1" w:lastColumn="0" w:noHBand="0" w:noVBand="1"/>
      </w:tblPr>
      <w:tblGrid>
        <w:gridCol w:w="1560"/>
        <w:gridCol w:w="257"/>
        <w:gridCol w:w="1448"/>
        <w:gridCol w:w="960"/>
        <w:gridCol w:w="851"/>
        <w:gridCol w:w="760"/>
        <w:gridCol w:w="396"/>
      </w:tblGrid>
      <w:tr w:rsidR="001C5041" w:rsidRPr="008026BD" w14:paraId="0C342E47" w14:textId="77777777" w:rsidTr="008026BD">
        <w:trPr>
          <w:trHeight w:val="178"/>
          <w:jc w:val="center"/>
        </w:trPr>
        <w:tc>
          <w:tcPr>
            <w:tcW w:w="1560" w:type="dxa"/>
            <w:tcBorders>
              <w:top w:val="single" w:sz="8" w:space="0" w:color="auto"/>
              <w:left w:val="nil"/>
              <w:bottom w:val="single" w:sz="4" w:space="0" w:color="auto"/>
              <w:right w:val="nil"/>
            </w:tcBorders>
            <w:shd w:val="clear" w:color="000000" w:fill="FFFFFF"/>
            <w:vAlign w:val="bottom"/>
            <w:hideMark/>
          </w:tcPr>
          <w:p w14:paraId="3C6236C5"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i/>
                <w:iCs/>
                <w:sz w:val="18"/>
                <w:szCs w:val="18"/>
              </w:rPr>
            </w:pPr>
            <w:r w:rsidRPr="008026BD">
              <w:rPr>
                <w:rFonts w:ascii="Cambria" w:eastAsia="Times New Roman" w:hAnsi="Cambria" w:cs="Times New Roman"/>
                <w:i/>
                <w:iCs/>
                <w:sz w:val="18"/>
                <w:szCs w:val="18"/>
              </w:rPr>
              <w:t>Response</w:t>
            </w:r>
          </w:p>
        </w:tc>
        <w:tc>
          <w:tcPr>
            <w:tcW w:w="253" w:type="dxa"/>
            <w:tcBorders>
              <w:top w:val="single" w:sz="8" w:space="0" w:color="auto"/>
              <w:left w:val="nil"/>
              <w:bottom w:val="single" w:sz="4" w:space="0" w:color="auto"/>
              <w:right w:val="nil"/>
            </w:tcBorders>
            <w:shd w:val="clear" w:color="000000" w:fill="FFFFFF"/>
            <w:vAlign w:val="bottom"/>
            <w:hideMark/>
          </w:tcPr>
          <w:p w14:paraId="1EDBF158"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i/>
                <w:iCs/>
                <w:sz w:val="18"/>
                <w:szCs w:val="18"/>
              </w:rPr>
            </w:pPr>
            <w:r w:rsidRPr="008026BD">
              <w:rPr>
                <w:rFonts w:ascii="Cambria" w:eastAsia="Times New Roman" w:hAnsi="Cambria" w:cs="Times New Roman"/>
                <w:i/>
                <w:iCs/>
                <w:sz w:val="18"/>
                <w:szCs w:val="18"/>
              </w:rPr>
              <w:t> </w:t>
            </w:r>
          </w:p>
        </w:tc>
        <w:tc>
          <w:tcPr>
            <w:tcW w:w="1448" w:type="dxa"/>
            <w:tcBorders>
              <w:top w:val="single" w:sz="8" w:space="0" w:color="auto"/>
              <w:left w:val="nil"/>
              <w:bottom w:val="single" w:sz="4" w:space="0" w:color="auto"/>
              <w:right w:val="nil"/>
            </w:tcBorders>
            <w:shd w:val="clear" w:color="000000" w:fill="FFFFFF"/>
            <w:noWrap/>
            <w:vAlign w:val="bottom"/>
            <w:hideMark/>
          </w:tcPr>
          <w:p w14:paraId="76C68546"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i/>
                <w:iCs/>
                <w:sz w:val="18"/>
                <w:szCs w:val="18"/>
              </w:rPr>
            </w:pPr>
            <w:r w:rsidRPr="008026BD">
              <w:rPr>
                <w:rFonts w:ascii="Cambria" w:eastAsia="Times New Roman" w:hAnsi="Cambria" w:cs="Times New Roman"/>
                <w:i/>
                <w:iCs/>
                <w:sz w:val="18"/>
                <w:szCs w:val="18"/>
              </w:rPr>
              <w:t>Predictor</w:t>
            </w:r>
          </w:p>
        </w:tc>
        <w:tc>
          <w:tcPr>
            <w:tcW w:w="960" w:type="dxa"/>
            <w:tcBorders>
              <w:top w:val="single" w:sz="8" w:space="0" w:color="auto"/>
              <w:left w:val="nil"/>
              <w:bottom w:val="single" w:sz="4" w:space="0" w:color="auto"/>
              <w:right w:val="nil"/>
            </w:tcBorders>
            <w:shd w:val="clear" w:color="000000" w:fill="FFFFFF"/>
            <w:noWrap/>
            <w:vAlign w:val="bottom"/>
            <w:hideMark/>
          </w:tcPr>
          <w:p w14:paraId="38F3B322"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i/>
                <w:iCs/>
                <w:sz w:val="18"/>
                <w:szCs w:val="18"/>
              </w:rPr>
            </w:pPr>
            <w:r w:rsidRPr="008026BD">
              <w:rPr>
                <w:rFonts w:ascii="Cambria" w:eastAsia="Times New Roman" w:hAnsi="Cambria" w:cs="Times New Roman"/>
                <w:i/>
                <w:iCs/>
                <w:sz w:val="18"/>
                <w:szCs w:val="18"/>
              </w:rPr>
              <w:t>denDF</w:t>
            </w:r>
          </w:p>
        </w:tc>
        <w:tc>
          <w:tcPr>
            <w:tcW w:w="840" w:type="dxa"/>
            <w:tcBorders>
              <w:top w:val="single" w:sz="8" w:space="0" w:color="auto"/>
              <w:left w:val="nil"/>
              <w:bottom w:val="single" w:sz="4" w:space="0" w:color="auto"/>
              <w:right w:val="nil"/>
            </w:tcBorders>
            <w:shd w:val="clear" w:color="000000" w:fill="FFFFFF"/>
            <w:noWrap/>
            <w:vAlign w:val="bottom"/>
            <w:hideMark/>
          </w:tcPr>
          <w:p w14:paraId="782BFDFC"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i/>
                <w:iCs/>
                <w:sz w:val="18"/>
                <w:szCs w:val="18"/>
              </w:rPr>
            </w:pPr>
            <w:r w:rsidRPr="008026BD">
              <w:rPr>
                <w:rFonts w:ascii="Cambria" w:eastAsia="Times New Roman" w:hAnsi="Cambria" w:cs="Times New Roman"/>
                <w:i/>
                <w:iCs/>
                <w:sz w:val="18"/>
                <w:szCs w:val="18"/>
              </w:rPr>
              <w:t>F-value</w:t>
            </w:r>
          </w:p>
        </w:tc>
        <w:tc>
          <w:tcPr>
            <w:tcW w:w="760" w:type="dxa"/>
            <w:tcBorders>
              <w:top w:val="single" w:sz="8" w:space="0" w:color="auto"/>
              <w:left w:val="nil"/>
              <w:bottom w:val="single" w:sz="4" w:space="0" w:color="auto"/>
              <w:right w:val="nil"/>
            </w:tcBorders>
            <w:shd w:val="clear" w:color="000000" w:fill="FFFFFF"/>
            <w:noWrap/>
            <w:vAlign w:val="bottom"/>
            <w:hideMark/>
          </w:tcPr>
          <w:p w14:paraId="4ABB9632"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i/>
                <w:iCs/>
                <w:sz w:val="18"/>
                <w:szCs w:val="18"/>
              </w:rPr>
            </w:pPr>
            <w:r w:rsidRPr="008026BD">
              <w:rPr>
                <w:rFonts w:ascii="Cambria" w:eastAsia="Times New Roman" w:hAnsi="Cambria" w:cs="Times New Roman"/>
                <w:i/>
                <w:iCs/>
                <w:sz w:val="18"/>
                <w:szCs w:val="18"/>
              </w:rPr>
              <w:t>p-value</w:t>
            </w:r>
          </w:p>
        </w:tc>
        <w:tc>
          <w:tcPr>
            <w:tcW w:w="376" w:type="dxa"/>
            <w:tcBorders>
              <w:top w:val="single" w:sz="8" w:space="0" w:color="auto"/>
              <w:left w:val="nil"/>
              <w:bottom w:val="single" w:sz="4" w:space="0" w:color="auto"/>
              <w:right w:val="nil"/>
            </w:tcBorders>
            <w:shd w:val="clear" w:color="000000" w:fill="FFFFFF"/>
            <w:noWrap/>
            <w:vAlign w:val="bottom"/>
            <w:hideMark/>
          </w:tcPr>
          <w:p w14:paraId="197DDA80"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i/>
                <w:iCs/>
                <w:sz w:val="18"/>
                <w:szCs w:val="18"/>
              </w:rPr>
            </w:pPr>
            <w:r w:rsidRPr="008026BD">
              <w:rPr>
                <w:rFonts w:ascii="Cambria" w:eastAsia="Times New Roman" w:hAnsi="Cambria" w:cs="Times New Roman"/>
                <w:i/>
                <w:iCs/>
                <w:sz w:val="18"/>
                <w:szCs w:val="18"/>
              </w:rPr>
              <w:t> </w:t>
            </w:r>
          </w:p>
        </w:tc>
      </w:tr>
      <w:tr w:rsidR="001C5041" w:rsidRPr="008026BD" w14:paraId="2FD1E74B" w14:textId="77777777" w:rsidTr="00660394">
        <w:trPr>
          <w:trHeight w:val="210"/>
          <w:jc w:val="center"/>
        </w:trPr>
        <w:tc>
          <w:tcPr>
            <w:tcW w:w="1560" w:type="dxa"/>
            <w:vMerge w:val="restart"/>
            <w:tcBorders>
              <w:top w:val="nil"/>
              <w:left w:val="nil"/>
              <w:bottom w:val="nil"/>
              <w:right w:val="nil"/>
            </w:tcBorders>
            <w:shd w:val="clear" w:color="000000" w:fill="FFFFFF"/>
            <w:vAlign w:val="center"/>
            <w:hideMark/>
          </w:tcPr>
          <w:p w14:paraId="48458F5A"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i/>
                <w:iCs/>
                <w:sz w:val="18"/>
                <w:szCs w:val="18"/>
              </w:rPr>
            </w:pPr>
            <w:r w:rsidRPr="008026BD">
              <w:rPr>
                <w:rFonts w:ascii="Cambria" w:eastAsia="Times New Roman" w:hAnsi="Cambria" w:cs="Times New Roman"/>
                <w:i/>
                <w:iCs/>
                <w:sz w:val="18"/>
                <w:szCs w:val="18"/>
              </w:rPr>
              <w:t>Biomass           (square root)</w:t>
            </w:r>
          </w:p>
        </w:tc>
        <w:tc>
          <w:tcPr>
            <w:tcW w:w="253" w:type="dxa"/>
            <w:tcBorders>
              <w:top w:val="nil"/>
              <w:left w:val="nil"/>
              <w:bottom w:val="nil"/>
              <w:right w:val="nil"/>
            </w:tcBorders>
            <w:shd w:val="clear" w:color="000000" w:fill="FFFFFF"/>
            <w:vAlign w:val="center"/>
            <w:hideMark/>
          </w:tcPr>
          <w:p w14:paraId="2F995958"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 </w:t>
            </w:r>
          </w:p>
        </w:tc>
        <w:tc>
          <w:tcPr>
            <w:tcW w:w="1448" w:type="dxa"/>
            <w:tcBorders>
              <w:top w:val="nil"/>
              <w:left w:val="nil"/>
              <w:bottom w:val="nil"/>
              <w:right w:val="nil"/>
            </w:tcBorders>
            <w:shd w:val="clear" w:color="000000" w:fill="FFFFFF"/>
            <w:noWrap/>
            <w:vAlign w:val="bottom"/>
            <w:hideMark/>
          </w:tcPr>
          <w:p w14:paraId="29056328"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Sand(%)</w:t>
            </w:r>
          </w:p>
        </w:tc>
        <w:tc>
          <w:tcPr>
            <w:tcW w:w="960" w:type="dxa"/>
            <w:tcBorders>
              <w:top w:val="nil"/>
              <w:left w:val="nil"/>
              <w:bottom w:val="nil"/>
              <w:right w:val="nil"/>
            </w:tcBorders>
            <w:shd w:val="clear" w:color="000000" w:fill="FFFFFF"/>
            <w:noWrap/>
            <w:vAlign w:val="bottom"/>
            <w:hideMark/>
          </w:tcPr>
          <w:p w14:paraId="4EB9B55F"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92</w:t>
            </w:r>
          </w:p>
        </w:tc>
        <w:tc>
          <w:tcPr>
            <w:tcW w:w="840" w:type="dxa"/>
            <w:tcBorders>
              <w:top w:val="nil"/>
              <w:left w:val="nil"/>
              <w:bottom w:val="nil"/>
              <w:right w:val="nil"/>
            </w:tcBorders>
            <w:shd w:val="clear" w:color="000000" w:fill="FFFFFF"/>
            <w:noWrap/>
            <w:vAlign w:val="bottom"/>
            <w:hideMark/>
          </w:tcPr>
          <w:p w14:paraId="456FCE0F"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8.756</w:t>
            </w:r>
          </w:p>
        </w:tc>
        <w:tc>
          <w:tcPr>
            <w:tcW w:w="760" w:type="dxa"/>
            <w:tcBorders>
              <w:top w:val="nil"/>
              <w:left w:val="nil"/>
              <w:bottom w:val="nil"/>
              <w:right w:val="nil"/>
            </w:tcBorders>
            <w:shd w:val="clear" w:color="000000" w:fill="FFFFFF"/>
            <w:noWrap/>
            <w:vAlign w:val="bottom"/>
            <w:hideMark/>
          </w:tcPr>
          <w:p w14:paraId="6D40F967"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0.004</w:t>
            </w:r>
          </w:p>
        </w:tc>
        <w:tc>
          <w:tcPr>
            <w:tcW w:w="376" w:type="dxa"/>
            <w:tcBorders>
              <w:top w:val="nil"/>
              <w:left w:val="nil"/>
              <w:bottom w:val="nil"/>
              <w:right w:val="nil"/>
            </w:tcBorders>
            <w:shd w:val="clear" w:color="000000" w:fill="FFFFFF"/>
            <w:noWrap/>
            <w:vAlign w:val="bottom"/>
            <w:hideMark/>
          </w:tcPr>
          <w:p w14:paraId="70ACCA18"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Times New Roman"/>
                <w:sz w:val="18"/>
                <w:szCs w:val="18"/>
              </w:rPr>
            </w:pPr>
            <w:r w:rsidRPr="008026BD">
              <w:rPr>
                <w:rFonts w:eastAsia="Times New Roman" w:cs="Times New Roman"/>
                <w:sz w:val="18"/>
                <w:szCs w:val="18"/>
              </w:rPr>
              <w:t>**</w:t>
            </w:r>
          </w:p>
        </w:tc>
      </w:tr>
      <w:tr w:rsidR="001C5041" w:rsidRPr="008026BD" w14:paraId="58D930BD" w14:textId="77777777" w:rsidTr="00660394">
        <w:trPr>
          <w:trHeight w:val="210"/>
          <w:jc w:val="center"/>
        </w:trPr>
        <w:tc>
          <w:tcPr>
            <w:tcW w:w="1560" w:type="dxa"/>
            <w:vMerge/>
            <w:tcBorders>
              <w:top w:val="nil"/>
              <w:left w:val="nil"/>
              <w:bottom w:val="nil"/>
              <w:right w:val="nil"/>
            </w:tcBorders>
            <w:vAlign w:val="center"/>
            <w:hideMark/>
          </w:tcPr>
          <w:p w14:paraId="22A2E35E"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i/>
                <w:iCs/>
                <w:sz w:val="18"/>
                <w:szCs w:val="18"/>
              </w:rPr>
            </w:pPr>
          </w:p>
        </w:tc>
        <w:tc>
          <w:tcPr>
            <w:tcW w:w="253" w:type="dxa"/>
            <w:tcBorders>
              <w:top w:val="nil"/>
              <w:left w:val="nil"/>
              <w:bottom w:val="nil"/>
              <w:right w:val="nil"/>
            </w:tcBorders>
            <w:shd w:val="clear" w:color="000000" w:fill="FFFFFF"/>
            <w:vAlign w:val="center"/>
            <w:hideMark/>
          </w:tcPr>
          <w:p w14:paraId="5DF94CB0"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 </w:t>
            </w:r>
          </w:p>
        </w:tc>
        <w:tc>
          <w:tcPr>
            <w:tcW w:w="1448" w:type="dxa"/>
            <w:tcBorders>
              <w:top w:val="nil"/>
              <w:left w:val="nil"/>
              <w:bottom w:val="nil"/>
              <w:right w:val="nil"/>
            </w:tcBorders>
            <w:shd w:val="clear" w:color="000000" w:fill="FFFFFF"/>
            <w:noWrap/>
            <w:vAlign w:val="bottom"/>
            <w:hideMark/>
          </w:tcPr>
          <w:p w14:paraId="3FFFD6FA"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Soil group</w:t>
            </w:r>
          </w:p>
        </w:tc>
        <w:tc>
          <w:tcPr>
            <w:tcW w:w="960" w:type="dxa"/>
            <w:tcBorders>
              <w:top w:val="nil"/>
              <w:left w:val="nil"/>
              <w:bottom w:val="nil"/>
              <w:right w:val="nil"/>
            </w:tcBorders>
            <w:shd w:val="clear" w:color="000000" w:fill="FFFFFF"/>
            <w:noWrap/>
            <w:vAlign w:val="bottom"/>
            <w:hideMark/>
          </w:tcPr>
          <w:p w14:paraId="54E702E5"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92</w:t>
            </w:r>
          </w:p>
        </w:tc>
        <w:tc>
          <w:tcPr>
            <w:tcW w:w="840" w:type="dxa"/>
            <w:tcBorders>
              <w:top w:val="nil"/>
              <w:left w:val="nil"/>
              <w:bottom w:val="nil"/>
              <w:right w:val="nil"/>
            </w:tcBorders>
            <w:shd w:val="clear" w:color="000000" w:fill="FFFFFF"/>
            <w:noWrap/>
            <w:vAlign w:val="bottom"/>
            <w:hideMark/>
          </w:tcPr>
          <w:p w14:paraId="3D66EF5F"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0.424</w:t>
            </w:r>
          </w:p>
        </w:tc>
        <w:tc>
          <w:tcPr>
            <w:tcW w:w="760" w:type="dxa"/>
            <w:tcBorders>
              <w:top w:val="nil"/>
              <w:left w:val="nil"/>
              <w:bottom w:val="nil"/>
              <w:right w:val="nil"/>
            </w:tcBorders>
            <w:shd w:val="clear" w:color="000000" w:fill="FFFFFF"/>
            <w:noWrap/>
            <w:vAlign w:val="bottom"/>
            <w:hideMark/>
          </w:tcPr>
          <w:p w14:paraId="30F9E3BB"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0.516</w:t>
            </w:r>
          </w:p>
        </w:tc>
        <w:tc>
          <w:tcPr>
            <w:tcW w:w="376" w:type="dxa"/>
            <w:tcBorders>
              <w:top w:val="nil"/>
              <w:left w:val="nil"/>
              <w:bottom w:val="nil"/>
              <w:right w:val="nil"/>
            </w:tcBorders>
            <w:shd w:val="clear" w:color="000000" w:fill="FFFFFF"/>
            <w:noWrap/>
            <w:vAlign w:val="bottom"/>
            <w:hideMark/>
          </w:tcPr>
          <w:p w14:paraId="7DA25D10"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Times New Roman"/>
                <w:sz w:val="18"/>
                <w:szCs w:val="18"/>
              </w:rPr>
            </w:pPr>
            <w:r w:rsidRPr="008026BD">
              <w:rPr>
                <w:rFonts w:eastAsia="Times New Roman" w:cs="Times New Roman"/>
                <w:sz w:val="18"/>
                <w:szCs w:val="18"/>
              </w:rPr>
              <w:t> </w:t>
            </w:r>
          </w:p>
        </w:tc>
      </w:tr>
      <w:tr w:rsidR="001C5041" w:rsidRPr="008026BD" w14:paraId="10AB45F6" w14:textId="77777777" w:rsidTr="00660394">
        <w:trPr>
          <w:trHeight w:val="210"/>
          <w:jc w:val="center"/>
        </w:trPr>
        <w:tc>
          <w:tcPr>
            <w:tcW w:w="1560" w:type="dxa"/>
            <w:vMerge/>
            <w:tcBorders>
              <w:top w:val="nil"/>
              <w:left w:val="nil"/>
              <w:bottom w:val="nil"/>
              <w:right w:val="nil"/>
            </w:tcBorders>
            <w:vAlign w:val="center"/>
            <w:hideMark/>
          </w:tcPr>
          <w:p w14:paraId="1F2F9B4D"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i/>
                <w:iCs/>
                <w:sz w:val="18"/>
                <w:szCs w:val="18"/>
              </w:rPr>
            </w:pPr>
          </w:p>
        </w:tc>
        <w:tc>
          <w:tcPr>
            <w:tcW w:w="253" w:type="dxa"/>
            <w:tcBorders>
              <w:top w:val="nil"/>
              <w:left w:val="nil"/>
              <w:bottom w:val="nil"/>
              <w:right w:val="nil"/>
            </w:tcBorders>
            <w:shd w:val="clear" w:color="000000" w:fill="FFFFFF"/>
            <w:vAlign w:val="center"/>
            <w:hideMark/>
          </w:tcPr>
          <w:p w14:paraId="0065AE3F"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 </w:t>
            </w:r>
          </w:p>
        </w:tc>
        <w:tc>
          <w:tcPr>
            <w:tcW w:w="1448" w:type="dxa"/>
            <w:tcBorders>
              <w:top w:val="nil"/>
              <w:left w:val="nil"/>
              <w:bottom w:val="nil"/>
              <w:right w:val="nil"/>
            </w:tcBorders>
            <w:shd w:val="clear" w:color="000000" w:fill="FFFFFF"/>
            <w:noWrap/>
            <w:vAlign w:val="bottom"/>
            <w:hideMark/>
          </w:tcPr>
          <w:p w14:paraId="57DA4F1F" w14:textId="658C46F8" w:rsidR="001C5041" w:rsidRPr="008026BD" w:rsidRDefault="009349E6"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F</w:t>
            </w:r>
            <w:r w:rsidR="001C5041" w:rsidRPr="008026BD">
              <w:rPr>
                <w:rFonts w:ascii="Cambria" w:eastAsia="Times New Roman" w:hAnsi="Cambria" w:cs="Times New Roman"/>
                <w:sz w:val="18"/>
                <w:szCs w:val="18"/>
              </w:rPr>
              <w:t>orest coverage</w:t>
            </w:r>
          </w:p>
        </w:tc>
        <w:tc>
          <w:tcPr>
            <w:tcW w:w="960" w:type="dxa"/>
            <w:tcBorders>
              <w:top w:val="nil"/>
              <w:left w:val="nil"/>
              <w:bottom w:val="nil"/>
              <w:right w:val="nil"/>
            </w:tcBorders>
            <w:shd w:val="clear" w:color="000000" w:fill="FFFFFF"/>
            <w:noWrap/>
            <w:vAlign w:val="bottom"/>
            <w:hideMark/>
          </w:tcPr>
          <w:p w14:paraId="6D1A46DB"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92</w:t>
            </w:r>
          </w:p>
        </w:tc>
        <w:tc>
          <w:tcPr>
            <w:tcW w:w="840" w:type="dxa"/>
            <w:tcBorders>
              <w:top w:val="nil"/>
              <w:left w:val="nil"/>
              <w:bottom w:val="nil"/>
              <w:right w:val="nil"/>
            </w:tcBorders>
            <w:shd w:val="clear" w:color="000000" w:fill="FFFFFF"/>
            <w:noWrap/>
            <w:vAlign w:val="bottom"/>
            <w:hideMark/>
          </w:tcPr>
          <w:p w14:paraId="241D2BAF"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11.979</w:t>
            </w:r>
          </w:p>
        </w:tc>
        <w:tc>
          <w:tcPr>
            <w:tcW w:w="760" w:type="dxa"/>
            <w:tcBorders>
              <w:top w:val="nil"/>
              <w:left w:val="nil"/>
              <w:bottom w:val="nil"/>
              <w:right w:val="nil"/>
            </w:tcBorders>
            <w:shd w:val="clear" w:color="000000" w:fill="FFFFFF"/>
            <w:noWrap/>
            <w:vAlign w:val="bottom"/>
            <w:hideMark/>
          </w:tcPr>
          <w:p w14:paraId="0E219040"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&lt;0.001</w:t>
            </w:r>
          </w:p>
        </w:tc>
        <w:tc>
          <w:tcPr>
            <w:tcW w:w="376" w:type="dxa"/>
            <w:tcBorders>
              <w:top w:val="nil"/>
              <w:left w:val="nil"/>
              <w:bottom w:val="nil"/>
              <w:right w:val="nil"/>
            </w:tcBorders>
            <w:shd w:val="clear" w:color="000000" w:fill="FFFFFF"/>
            <w:noWrap/>
            <w:vAlign w:val="bottom"/>
            <w:hideMark/>
          </w:tcPr>
          <w:p w14:paraId="38A79927"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Times New Roman"/>
                <w:sz w:val="18"/>
                <w:szCs w:val="18"/>
              </w:rPr>
            </w:pPr>
            <w:r w:rsidRPr="008026BD">
              <w:rPr>
                <w:rFonts w:eastAsia="Times New Roman" w:cs="Times New Roman"/>
                <w:sz w:val="18"/>
                <w:szCs w:val="18"/>
              </w:rPr>
              <w:t>**</w:t>
            </w:r>
          </w:p>
        </w:tc>
      </w:tr>
      <w:tr w:rsidR="001C5041" w:rsidRPr="008026BD" w14:paraId="06498B84" w14:textId="77777777" w:rsidTr="00660394">
        <w:trPr>
          <w:trHeight w:val="210"/>
          <w:jc w:val="center"/>
        </w:trPr>
        <w:tc>
          <w:tcPr>
            <w:tcW w:w="1560" w:type="dxa"/>
            <w:vMerge/>
            <w:tcBorders>
              <w:top w:val="nil"/>
              <w:left w:val="nil"/>
              <w:bottom w:val="nil"/>
              <w:right w:val="nil"/>
            </w:tcBorders>
            <w:vAlign w:val="center"/>
            <w:hideMark/>
          </w:tcPr>
          <w:p w14:paraId="15A7AB36"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i/>
                <w:iCs/>
                <w:sz w:val="18"/>
                <w:szCs w:val="18"/>
              </w:rPr>
            </w:pPr>
          </w:p>
        </w:tc>
        <w:tc>
          <w:tcPr>
            <w:tcW w:w="253" w:type="dxa"/>
            <w:tcBorders>
              <w:top w:val="nil"/>
              <w:left w:val="nil"/>
              <w:bottom w:val="nil"/>
              <w:right w:val="nil"/>
            </w:tcBorders>
            <w:shd w:val="clear" w:color="000000" w:fill="FFFFFF"/>
            <w:vAlign w:val="center"/>
            <w:hideMark/>
          </w:tcPr>
          <w:p w14:paraId="5C5FFCF9"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 </w:t>
            </w:r>
          </w:p>
        </w:tc>
        <w:tc>
          <w:tcPr>
            <w:tcW w:w="1448" w:type="dxa"/>
            <w:tcBorders>
              <w:top w:val="nil"/>
              <w:left w:val="nil"/>
              <w:bottom w:val="nil"/>
              <w:right w:val="nil"/>
            </w:tcBorders>
            <w:shd w:val="clear" w:color="000000" w:fill="FFFFFF"/>
            <w:noWrap/>
            <w:vAlign w:val="bottom"/>
            <w:hideMark/>
          </w:tcPr>
          <w:p w14:paraId="6978CBCC"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Sand:Soil</w:t>
            </w:r>
          </w:p>
        </w:tc>
        <w:tc>
          <w:tcPr>
            <w:tcW w:w="960" w:type="dxa"/>
            <w:tcBorders>
              <w:top w:val="nil"/>
              <w:left w:val="nil"/>
              <w:bottom w:val="nil"/>
              <w:right w:val="nil"/>
            </w:tcBorders>
            <w:shd w:val="clear" w:color="000000" w:fill="FFFFFF"/>
            <w:noWrap/>
            <w:vAlign w:val="bottom"/>
            <w:hideMark/>
          </w:tcPr>
          <w:p w14:paraId="5A2F4E2A"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92</w:t>
            </w:r>
          </w:p>
        </w:tc>
        <w:tc>
          <w:tcPr>
            <w:tcW w:w="840" w:type="dxa"/>
            <w:tcBorders>
              <w:top w:val="nil"/>
              <w:left w:val="nil"/>
              <w:bottom w:val="nil"/>
              <w:right w:val="nil"/>
            </w:tcBorders>
            <w:shd w:val="clear" w:color="000000" w:fill="FFFFFF"/>
            <w:noWrap/>
            <w:vAlign w:val="bottom"/>
            <w:hideMark/>
          </w:tcPr>
          <w:p w14:paraId="63D6812A"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5.458</w:t>
            </w:r>
          </w:p>
        </w:tc>
        <w:tc>
          <w:tcPr>
            <w:tcW w:w="760" w:type="dxa"/>
            <w:tcBorders>
              <w:top w:val="nil"/>
              <w:left w:val="nil"/>
              <w:bottom w:val="nil"/>
              <w:right w:val="nil"/>
            </w:tcBorders>
            <w:shd w:val="clear" w:color="000000" w:fill="FFFFFF"/>
            <w:noWrap/>
            <w:vAlign w:val="bottom"/>
            <w:hideMark/>
          </w:tcPr>
          <w:p w14:paraId="37261548"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0.022</w:t>
            </w:r>
          </w:p>
        </w:tc>
        <w:tc>
          <w:tcPr>
            <w:tcW w:w="376" w:type="dxa"/>
            <w:tcBorders>
              <w:top w:val="nil"/>
              <w:left w:val="nil"/>
              <w:bottom w:val="nil"/>
              <w:right w:val="nil"/>
            </w:tcBorders>
            <w:shd w:val="clear" w:color="000000" w:fill="FFFFFF"/>
            <w:noWrap/>
            <w:vAlign w:val="bottom"/>
            <w:hideMark/>
          </w:tcPr>
          <w:p w14:paraId="4B0B29A5"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Times New Roman"/>
                <w:sz w:val="18"/>
                <w:szCs w:val="18"/>
              </w:rPr>
            </w:pPr>
            <w:r w:rsidRPr="008026BD">
              <w:rPr>
                <w:rFonts w:eastAsia="Times New Roman" w:cs="Times New Roman"/>
                <w:sz w:val="18"/>
                <w:szCs w:val="18"/>
              </w:rPr>
              <w:t>*</w:t>
            </w:r>
          </w:p>
        </w:tc>
      </w:tr>
      <w:tr w:rsidR="001C5041" w:rsidRPr="008026BD" w14:paraId="7FA2D1D0" w14:textId="77777777" w:rsidTr="00660394">
        <w:trPr>
          <w:trHeight w:val="60"/>
          <w:jc w:val="center"/>
        </w:trPr>
        <w:tc>
          <w:tcPr>
            <w:tcW w:w="1560" w:type="dxa"/>
            <w:tcBorders>
              <w:top w:val="nil"/>
              <w:left w:val="nil"/>
              <w:bottom w:val="nil"/>
              <w:right w:val="nil"/>
            </w:tcBorders>
            <w:shd w:val="clear" w:color="000000" w:fill="FFFFFF"/>
            <w:vAlign w:val="center"/>
            <w:hideMark/>
          </w:tcPr>
          <w:p w14:paraId="4E7A01FF"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i/>
                <w:iCs/>
                <w:sz w:val="18"/>
                <w:szCs w:val="18"/>
              </w:rPr>
            </w:pPr>
            <w:r w:rsidRPr="008026BD">
              <w:rPr>
                <w:rFonts w:ascii="Cambria" w:eastAsia="Times New Roman" w:hAnsi="Cambria" w:cs="Times New Roman"/>
                <w:i/>
                <w:iCs/>
                <w:sz w:val="18"/>
                <w:szCs w:val="18"/>
              </w:rPr>
              <w:t> </w:t>
            </w:r>
          </w:p>
        </w:tc>
        <w:tc>
          <w:tcPr>
            <w:tcW w:w="253" w:type="dxa"/>
            <w:tcBorders>
              <w:top w:val="nil"/>
              <w:left w:val="nil"/>
              <w:bottom w:val="nil"/>
              <w:right w:val="nil"/>
            </w:tcBorders>
            <w:shd w:val="clear" w:color="000000" w:fill="FFFFFF"/>
            <w:vAlign w:val="center"/>
            <w:hideMark/>
          </w:tcPr>
          <w:p w14:paraId="39AB7292"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 </w:t>
            </w:r>
          </w:p>
        </w:tc>
        <w:tc>
          <w:tcPr>
            <w:tcW w:w="1448" w:type="dxa"/>
            <w:tcBorders>
              <w:top w:val="nil"/>
              <w:left w:val="nil"/>
              <w:bottom w:val="nil"/>
              <w:right w:val="nil"/>
            </w:tcBorders>
            <w:shd w:val="clear" w:color="000000" w:fill="FFFFFF"/>
            <w:noWrap/>
            <w:vAlign w:val="bottom"/>
            <w:hideMark/>
          </w:tcPr>
          <w:p w14:paraId="01572A34"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 </w:t>
            </w:r>
          </w:p>
        </w:tc>
        <w:tc>
          <w:tcPr>
            <w:tcW w:w="960" w:type="dxa"/>
            <w:tcBorders>
              <w:top w:val="nil"/>
              <w:left w:val="nil"/>
              <w:bottom w:val="nil"/>
              <w:right w:val="nil"/>
            </w:tcBorders>
            <w:shd w:val="clear" w:color="000000" w:fill="FFFFFF"/>
            <w:noWrap/>
            <w:vAlign w:val="bottom"/>
            <w:hideMark/>
          </w:tcPr>
          <w:p w14:paraId="07FAB43B"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 </w:t>
            </w:r>
          </w:p>
        </w:tc>
        <w:tc>
          <w:tcPr>
            <w:tcW w:w="840" w:type="dxa"/>
            <w:tcBorders>
              <w:top w:val="nil"/>
              <w:left w:val="nil"/>
              <w:bottom w:val="nil"/>
              <w:right w:val="nil"/>
            </w:tcBorders>
            <w:shd w:val="clear" w:color="000000" w:fill="FFFFFF"/>
            <w:noWrap/>
            <w:vAlign w:val="bottom"/>
            <w:hideMark/>
          </w:tcPr>
          <w:p w14:paraId="37E0FCC6"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 </w:t>
            </w:r>
          </w:p>
        </w:tc>
        <w:tc>
          <w:tcPr>
            <w:tcW w:w="760" w:type="dxa"/>
            <w:tcBorders>
              <w:top w:val="nil"/>
              <w:left w:val="nil"/>
              <w:bottom w:val="nil"/>
              <w:right w:val="nil"/>
            </w:tcBorders>
            <w:shd w:val="clear" w:color="000000" w:fill="FFFFFF"/>
            <w:noWrap/>
            <w:vAlign w:val="bottom"/>
            <w:hideMark/>
          </w:tcPr>
          <w:p w14:paraId="4D4E05E4"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 </w:t>
            </w:r>
          </w:p>
        </w:tc>
        <w:tc>
          <w:tcPr>
            <w:tcW w:w="376" w:type="dxa"/>
            <w:tcBorders>
              <w:top w:val="nil"/>
              <w:left w:val="nil"/>
              <w:bottom w:val="nil"/>
              <w:right w:val="nil"/>
            </w:tcBorders>
            <w:shd w:val="clear" w:color="000000" w:fill="FFFFFF"/>
            <w:noWrap/>
            <w:vAlign w:val="bottom"/>
            <w:hideMark/>
          </w:tcPr>
          <w:p w14:paraId="4544E8C6"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Times New Roman"/>
                <w:sz w:val="18"/>
                <w:szCs w:val="18"/>
              </w:rPr>
            </w:pPr>
            <w:r w:rsidRPr="008026BD">
              <w:rPr>
                <w:rFonts w:eastAsia="Times New Roman" w:cs="Times New Roman"/>
                <w:sz w:val="18"/>
                <w:szCs w:val="18"/>
              </w:rPr>
              <w:t> </w:t>
            </w:r>
          </w:p>
        </w:tc>
      </w:tr>
      <w:tr w:rsidR="001C5041" w:rsidRPr="008026BD" w14:paraId="1921DE67" w14:textId="77777777" w:rsidTr="00660394">
        <w:trPr>
          <w:trHeight w:val="210"/>
          <w:jc w:val="center"/>
        </w:trPr>
        <w:tc>
          <w:tcPr>
            <w:tcW w:w="1560" w:type="dxa"/>
            <w:vMerge w:val="restart"/>
            <w:tcBorders>
              <w:top w:val="nil"/>
              <w:left w:val="nil"/>
              <w:bottom w:val="nil"/>
              <w:right w:val="nil"/>
            </w:tcBorders>
            <w:shd w:val="clear" w:color="000000" w:fill="FFFFFF"/>
            <w:vAlign w:val="center"/>
            <w:hideMark/>
          </w:tcPr>
          <w:p w14:paraId="24580942"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i/>
                <w:iCs/>
                <w:sz w:val="18"/>
                <w:szCs w:val="18"/>
              </w:rPr>
            </w:pPr>
            <w:r w:rsidRPr="008026BD">
              <w:rPr>
                <w:rFonts w:ascii="Cambria" w:eastAsia="Times New Roman" w:hAnsi="Cambria" w:cs="Times New Roman"/>
                <w:i/>
                <w:iCs/>
                <w:sz w:val="18"/>
                <w:szCs w:val="18"/>
              </w:rPr>
              <w:t>Stem density</w:t>
            </w:r>
          </w:p>
        </w:tc>
        <w:tc>
          <w:tcPr>
            <w:tcW w:w="253" w:type="dxa"/>
            <w:tcBorders>
              <w:top w:val="nil"/>
              <w:left w:val="nil"/>
              <w:bottom w:val="nil"/>
              <w:right w:val="nil"/>
            </w:tcBorders>
            <w:shd w:val="clear" w:color="000000" w:fill="FFFFFF"/>
            <w:vAlign w:val="center"/>
            <w:hideMark/>
          </w:tcPr>
          <w:p w14:paraId="6067E3A5"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 </w:t>
            </w:r>
          </w:p>
        </w:tc>
        <w:tc>
          <w:tcPr>
            <w:tcW w:w="1448" w:type="dxa"/>
            <w:tcBorders>
              <w:top w:val="nil"/>
              <w:left w:val="nil"/>
              <w:bottom w:val="nil"/>
              <w:right w:val="nil"/>
            </w:tcBorders>
            <w:shd w:val="clear" w:color="000000" w:fill="FFFFFF"/>
            <w:noWrap/>
            <w:vAlign w:val="bottom"/>
            <w:hideMark/>
          </w:tcPr>
          <w:p w14:paraId="0C951367"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Sand(%)</w:t>
            </w:r>
          </w:p>
        </w:tc>
        <w:tc>
          <w:tcPr>
            <w:tcW w:w="960" w:type="dxa"/>
            <w:tcBorders>
              <w:top w:val="nil"/>
              <w:left w:val="nil"/>
              <w:bottom w:val="nil"/>
              <w:right w:val="nil"/>
            </w:tcBorders>
            <w:shd w:val="clear" w:color="000000" w:fill="FFFFFF"/>
            <w:noWrap/>
            <w:vAlign w:val="bottom"/>
            <w:hideMark/>
          </w:tcPr>
          <w:p w14:paraId="4E15FD75"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92</w:t>
            </w:r>
          </w:p>
        </w:tc>
        <w:tc>
          <w:tcPr>
            <w:tcW w:w="840" w:type="dxa"/>
            <w:tcBorders>
              <w:top w:val="nil"/>
              <w:left w:val="nil"/>
              <w:bottom w:val="nil"/>
              <w:right w:val="nil"/>
            </w:tcBorders>
            <w:shd w:val="clear" w:color="000000" w:fill="FFFFFF"/>
            <w:noWrap/>
            <w:vAlign w:val="bottom"/>
            <w:hideMark/>
          </w:tcPr>
          <w:p w14:paraId="3CA93D55"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9.814</w:t>
            </w:r>
          </w:p>
        </w:tc>
        <w:tc>
          <w:tcPr>
            <w:tcW w:w="760" w:type="dxa"/>
            <w:tcBorders>
              <w:top w:val="nil"/>
              <w:left w:val="nil"/>
              <w:bottom w:val="nil"/>
              <w:right w:val="nil"/>
            </w:tcBorders>
            <w:shd w:val="clear" w:color="000000" w:fill="FFFFFF"/>
            <w:noWrap/>
            <w:vAlign w:val="bottom"/>
            <w:hideMark/>
          </w:tcPr>
          <w:p w14:paraId="43A2B8D3"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0.002</w:t>
            </w:r>
          </w:p>
        </w:tc>
        <w:tc>
          <w:tcPr>
            <w:tcW w:w="376" w:type="dxa"/>
            <w:tcBorders>
              <w:top w:val="nil"/>
              <w:left w:val="nil"/>
              <w:bottom w:val="nil"/>
              <w:right w:val="nil"/>
            </w:tcBorders>
            <w:shd w:val="clear" w:color="000000" w:fill="FFFFFF"/>
            <w:noWrap/>
            <w:vAlign w:val="bottom"/>
            <w:hideMark/>
          </w:tcPr>
          <w:p w14:paraId="5499536A"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Times New Roman"/>
                <w:sz w:val="18"/>
                <w:szCs w:val="18"/>
              </w:rPr>
            </w:pPr>
            <w:r w:rsidRPr="008026BD">
              <w:rPr>
                <w:rFonts w:eastAsia="Times New Roman" w:cs="Times New Roman"/>
                <w:sz w:val="18"/>
                <w:szCs w:val="18"/>
              </w:rPr>
              <w:t>**</w:t>
            </w:r>
          </w:p>
        </w:tc>
      </w:tr>
      <w:tr w:rsidR="001C5041" w:rsidRPr="008026BD" w14:paraId="1302B851" w14:textId="77777777" w:rsidTr="00660394">
        <w:trPr>
          <w:trHeight w:val="210"/>
          <w:jc w:val="center"/>
        </w:trPr>
        <w:tc>
          <w:tcPr>
            <w:tcW w:w="1560" w:type="dxa"/>
            <w:vMerge/>
            <w:tcBorders>
              <w:top w:val="nil"/>
              <w:left w:val="nil"/>
              <w:bottom w:val="nil"/>
              <w:right w:val="nil"/>
            </w:tcBorders>
            <w:vAlign w:val="center"/>
            <w:hideMark/>
          </w:tcPr>
          <w:p w14:paraId="435DE78A"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i/>
                <w:iCs/>
                <w:sz w:val="18"/>
                <w:szCs w:val="18"/>
              </w:rPr>
            </w:pPr>
          </w:p>
        </w:tc>
        <w:tc>
          <w:tcPr>
            <w:tcW w:w="253" w:type="dxa"/>
            <w:tcBorders>
              <w:top w:val="nil"/>
              <w:left w:val="nil"/>
              <w:bottom w:val="nil"/>
              <w:right w:val="nil"/>
            </w:tcBorders>
            <w:shd w:val="clear" w:color="000000" w:fill="FFFFFF"/>
            <w:vAlign w:val="center"/>
            <w:hideMark/>
          </w:tcPr>
          <w:p w14:paraId="048875F9"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 </w:t>
            </w:r>
          </w:p>
        </w:tc>
        <w:tc>
          <w:tcPr>
            <w:tcW w:w="1448" w:type="dxa"/>
            <w:tcBorders>
              <w:top w:val="nil"/>
              <w:left w:val="nil"/>
              <w:bottom w:val="nil"/>
              <w:right w:val="nil"/>
            </w:tcBorders>
            <w:shd w:val="clear" w:color="000000" w:fill="FFFFFF"/>
            <w:noWrap/>
            <w:vAlign w:val="bottom"/>
            <w:hideMark/>
          </w:tcPr>
          <w:p w14:paraId="022286F6"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Soil group</w:t>
            </w:r>
          </w:p>
        </w:tc>
        <w:tc>
          <w:tcPr>
            <w:tcW w:w="960" w:type="dxa"/>
            <w:tcBorders>
              <w:top w:val="nil"/>
              <w:left w:val="nil"/>
              <w:bottom w:val="nil"/>
              <w:right w:val="nil"/>
            </w:tcBorders>
            <w:shd w:val="clear" w:color="000000" w:fill="FFFFFF"/>
            <w:noWrap/>
            <w:vAlign w:val="bottom"/>
            <w:hideMark/>
          </w:tcPr>
          <w:p w14:paraId="01A03302"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92</w:t>
            </w:r>
          </w:p>
        </w:tc>
        <w:tc>
          <w:tcPr>
            <w:tcW w:w="840" w:type="dxa"/>
            <w:tcBorders>
              <w:top w:val="nil"/>
              <w:left w:val="nil"/>
              <w:bottom w:val="nil"/>
              <w:right w:val="nil"/>
            </w:tcBorders>
            <w:shd w:val="clear" w:color="000000" w:fill="FFFFFF"/>
            <w:noWrap/>
            <w:vAlign w:val="bottom"/>
            <w:hideMark/>
          </w:tcPr>
          <w:p w14:paraId="79D18A93"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0.082</w:t>
            </w:r>
          </w:p>
        </w:tc>
        <w:tc>
          <w:tcPr>
            <w:tcW w:w="760" w:type="dxa"/>
            <w:tcBorders>
              <w:top w:val="nil"/>
              <w:left w:val="nil"/>
              <w:bottom w:val="nil"/>
              <w:right w:val="nil"/>
            </w:tcBorders>
            <w:shd w:val="clear" w:color="000000" w:fill="FFFFFF"/>
            <w:noWrap/>
            <w:vAlign w:val="bottom"/>
            <w:hideMark/>
          </w:tcPr>
          <w:p w14:paraId="76BE18BD"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0.776</w:t>
            </w:r>
          </w:p>
        </w:tc>
        <w:tc>
          <w:tcPr>
            <w:tcW w:w="376" w:type="dxa"/>
            <w:tcBorders>
              <w:top w:val="nil"/>
              <w:left w:val="nil"/>
              <w:bottom w:val="nil"/>
              <w:right w:val="nil"/>
            </w:tcBorders>
            <w:shd w:val="clear" w:color="000000" w:fill="FFFFFF"/>
            <w:noWrap/>
            <w:vAlign w:val="bottom"/>
            <w:hideMark/>
          </w:tcPr>
          <w:p w14:paraId="75C7F4AE"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Times New Roman"/>
                <w:sz w:val="18"/>
                <w:szCs w:val="18"/>
              </w:rPr>
            </w:pPr>
            <w:r w:rsidRPr="008026BD">
              <w:rPr>
                <w:rFonts w:eastAsia="Times New Roman" w:cs="Times New Roman"/>
                <w:sz w:val="18"/>
                <w:szCs w:val="18"/>
              </w:rPr>
              <w:t> </w:t>
            </w:r>
          </w:p>
        </w:tc>
      </w:tr>
      <w:tr w:rsidR="001C5041" w:rsidRPr="008026BD" w14:paraId="36CBC054" w14:textId="77777777" w:rsidTr="00660394">
        <w:trPr>
          <w:trHeight w:val="210"/>
          <w:jc w:val="center"/>
        </w:trPr>
        <w:tc>
          <w:tcPr>
            <w:tcW w:w="1560" w:type="dxa"/>
            <w:vMerge/>
            <w:tcBorders>
              <w:top w:val="nil"/>
              <w:left w:val="nil"/>
              <w:bottom w:val="nil"/>
              <w:right w:val="nil"/>
            </w:tcBorders>
            <w:vAlign w:val="center"/>
            <w:hideMark/>
          </w:tcPr>
          <w:p w14:paraId="6A65ADB3"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i/>
                <w:iCs/>
                <w:sz w:val="18"/>
                <w:szCs w:val="18"/>
              </w:rPr>
            </w:pPr>
          </w:p>
        </w:tc>
        <w:tc>
          <w:tcPr>
            <w:tcW w:w="253" w:type="dxa"/>
            <w:tcBorders>
              <w:top w:val="nil"/>
              <w:left w:val="nil"/>
              <w:bottom w:val="nil"/>
              <w:right w:val="nil"/>
            </w:tcBorders>
            <w:shd w:val="clear" w:color="000000" w:fill="FFFFFF"/>
            <w:vAlign w:val="center"/>
            <w:hideMark/>
          </w:tcPr>
          <w:p w14:paraId="59C5A7A8"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 </w:t>
            </w:r>
          </w:p>
        </w:tc>
        <w:tc>
          <w:tcPr>
            <w:tcW w:w="1448" w:type="dxa"/>
            <w:tcBorders>
              <w:top w:val="nil"/>
              <w:left w:val="nil"/>
              <w:bottom w:val="nil"/>
              <w:right w:val="nil"/>
            </w:tcBorders>
            <w:shd w:val="clear" w:color="000000" w:fill="FFFFFF"/>
            <w:noWrap/>
            <w:vAlign w:val="bottom"/>
            <w:hideMark/>
          </w:tcPr>
          <w:p w14:paraId="0EBDCCFF" w14:textId="6DC40DD0" w:rsidR="001C5041" w:rsidRPr="008026BD" w:rsidRDefault="009349E6"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F</w:t>
            </w:r>
            <w:r w:rsidR="001C5041" w:rsidRPr="008026BD">
              <w:rPr>
                <w:rFonts w:ascii="Cambria" w:eastAsia="Times New Roman" w:hAnsi="Cambria" w:cs="Times New Roman"/>
                <w:sz w:val="18"/>
                <w:szCs w:val="18"/>
              </w:rPr>
              <w:t>orest coverage</w:t>
            </w:r>
          </w:p>
        </w:tc>
        <w:tc>
          <w:tcPr>
            <w:tcW w:w="960" w:type="dxa"/>
            <w:tcBorders>
              <w:top w:val="nil"/>
              <w:left w:val="nil"/>
              <w:bottom w:val="nil"/>
              <w:right w:val="nil"/>
            </w:tcBorders>
            <w:shd w:val="clear" w:color="000000" w:fill="FFFFFF"/>
            <w:noWrap/>
            <w:vAlign w:val="bottom"/>
            <w:hideMark/>
          </w:tcPr>
          <w:p w14:paraId="226E1ADF"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92</w:t>
            </w:r>
          </w:p>
        </w:tc>
        <w:tc>
          <w:tcPr>
            <w:tcW w:w="840" w:type="dxa"/>
            <w:tcBorders>
              <w:top w:val="nil"/>
              <w:left w:val="nil"/>
              <w:bottom w:val="nil"/>
              <w:right w:val="nil"/>
            </w:tcBorders>
            <w:shd w:val="clear" w:color="000000" w:fill="FFFFFF"/>
            <w:noWrap/>
            <w:vAlign w:val="bottom"/>
            <w:hideMark/>
          </w:tcPr>
          <w:p w14:paraId="75099461"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3.910</w:t>
            </w:r>
          </w:p>
        </w:tc>
        <w:tc>
          <w:tcPr>
            <w:tcW w:w="760" w:type="dxa"/>
            <w:tcBorders>
              <w:top w:val="nil"/>
              <w:left w:val="nil"/>
              <w:bottom w:val="nil"/>
              <w:right w:val="nil"/>
            </w:tcBorders>
            <w:shd w:val="clear" w:color="000000" w:fill="FFFFFF"/>
            <w:noWrap/>
            <w:vAlign w:val="bottom"/>
            <w:hideMark/>
          </w:tcPr>
          <w:p w14:paraId="0B8E565C"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0.051</w:t>
            </w:r>
          </w:p>
        </w:tc>
        <w:tc>
          <w:tcPr>
            <w:tcW w:w="376" w:type="dxa"/>
            <w:tcBorders>
              <w:top w:val="nil"/>
              <w:left w:val="nil"/>
              <w:bottom w:val="nil"/>
              <w:right w:val="nil"/>
            </w:tcBorders>
            <w:shd w:val="clear" w:color="000000" w:fill="FFFFFF"/>
            <w:noWrap/>
            <w:vAlign w:val="bottom"/>
            <w:hideMark/>
          </w:tcPr>
          <w:p w14:paraId="6E93CA7B"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Times New Roman"/>
                <w:sz w:val="18"/>
                <w:szCs w:val="18"/>
              </w:rPr>
            </w:pPr>
            <w:r w:rsidRPr="008026BD">
              <w:rPr>
                <w:rFonts w:eastAsia="Times New Roman" w:cs="Times New Roman"/>
                <w:sz w:val="18"/>
                <w:szCs w:val="18"/>
              </w:rPr>
              <w:t>.</w:t>
            </w:r>
          </w:p>
        </w:tc>
      </w:tr>
      <w:tr w:rsidR="001C5041" w:rsidRPr="008026BD" w14:paraId="080B4FCD" w14:textId="77777777" w:rsidTr="00660394">
        <w:trPr>
          <w:trHeight w:val="210"/>
          <w:jc w:val="center"/>
        </w:trPr>
        <w:tc>
          <w:tcPr>
            <w:tcW w:w="1560" w:type="dxa"/>
            <w:vMerge/>
            <w:tcBorders>
              <w:top w:val="nil"/>
              <w:left w:val="nil"/>
              <w:bottom w:val="nil"/>
              <w:right w:val="nil"/>
            </w:tcBorders>
            <w:vAlign w:val="center"/>
            <w:hideMark/>
          </w:tcPr>
          <w:p w14:paraId="419E22DE"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i/>
                <w:iCs/>
                <w:sz w:val="18"/>
                <w:szCs w:val="18"/>
              </w:rPr>
            </w:pPr>
          </w:p>
        </w:tc>
        <w:tc>
          <w:tcPr>
            <w:tcW w:w="253" w:type="dxa"/>
            <w:tcBorders>
              <w:top w:val="nil"/>
              <w:left w:val="nil"/>
              <w:bottom w:val="nil"/>
              <w:right w:val="nil"/>
            </w:tcBorders>
            <w:shd w:val="clear" w:color="000000" w:fill="FFFFFF"/>
            <w:vAlign w:val="center"/>
            <w:hideMark/>
          </w:tcPr>
          <w:p w14:paraId="6AAC7C02"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 </w:t>
            </w:r>
          </w:p>
        </w:tc>
        <w:tc>
          <w:tcPr>
            <w:tcW w:w="1448" w:type="dxa"/>
            <w:tcBorders>
              <w:top w:val="nil"/>
              <w:left w:val="nil"/>
              <w:bottom w:val="nil"/>
              <w:right w:val="nil"/>
            </w:tcBorders>
            <w:shd w:val="clear" w:color="000000" w:fill="FFFFFF"/>
            <w:noWrap/>
            <w:vAlign w:val="bottom"/>
            <w:hideMark/>
          </w:tcPr>
          <w:p w14:paraId="761E3F00"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Sand:Soil</w:t>
            </w:r>
          </w:p>
        </w:tc>
        <w:tc>
          <w:tcPr>
            <w:tcW w:w="960" w:type="dxa"/>
            <w:tcBorders>
              <w:top w:val="nil"/>
              <w:left w:val="nil"/>
              <w:bottom w:val="nil"/>
              <w:right w:val="nil"/>
            </w:tcBorders>
            <w:shd w:val="clear" w:color="000000" w:fill="FFFFFF"/>
            <w:noWrap/>
            <w:vAlign w:val="bottom"/>
            <w:hideMark/>
          </w:tcPr>
          <w:p w14:paraId="0163E0E2"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92</w:t>
            </w:r>
          </w:p>
        </w:tc>
        <w:tc>
          <w:tcPr>
            <w:tcW w:w="840" w:type="dxa"/>
            <w:tcBorders>
              <w:top w:val="nil"/>
              <w:left w:val="nil"/>
              <w:bottom w:val="nil"/>
              <w:right w:val="nil"/>
            </w:tcBorders>
            <w:shd w:val="clear" w:color="000000" w:fill="FFFFFF"/>
            <w:noWrap/>
            <w:vAlign w:val="bottom"/>
            <w:hideMark/>
          </w:tcPr>
          <w:p w14:paraId="6FB6F792"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8.040</w:t>
            </w:r>
          </w:p>
        </w:tc>
        <w:tc>
          <w:tcPr>
            <w:tcW w:w="760" w:type="dxa"/>
            <w:tcBorders>
              <w:top w:val="nil"/>
              <w:left w:val="nil"/>
              <w:bottom w:val="nil"/>
              <w:right w:val="nil"/>
            </w:tcBorders>
            <w:shd w:val="clear" w:color="000000" w:fill="FFFFFF"/>
            <w:noWrap/>
            <w:vAlign w:val="bottom"/>
            <w:hideMark/>
          </w:tcPr>
          <w:p w14:paraId="59448217"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0.006</w:t>
            </w:r>
          </w:p>
        </w:tc>
        <w:tc>
          <w:tcPr>
            <w:tcW w:w="376" w:type="dxa"/>
            <w:tcBorders>
              <w:top w:val="nil"/>
              <w:left w:val="nil"/>
              <w:bottom w:val="nil"/>
              <w:right w:val="nil"/>
            </w:tcBorders>
            <w:shd w:val="clear" w:color="000000" w:fill="FFFFFF"/>
            <w:noWrap/>
            <w:vAlign w:val="bottom"/>
            <w:hideMark/>
          </w:tcPr>
          <w:p w14:paraId="343FA0DF"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Times New Roman"/>
                <w:sz w:val="18"/>
                <w:szCs w:val="18"/>
              </w:rPr>
            </w:pPr>
            <w:r w:rsidRPr="008026BD">
              <w:rPr>
                <w:rFonts w:eastAsia="Times New Roman" w:cs="Times New Roman"/>
                <w:sz w:val="18"/>
                <w:szCs w:val="18"/>
              </w:rPr>
              <w:t>**</w:t>
            </w:r>
          </w:p>
        </w:tc>
      </w:tr>
      <w:tr w:rsidR="001C5041" w:rsidRPr="008026BD" w14:paraId="40654E3A" w14:textId="77777777" w:rsidTr="00660394">
        <w:trPr>
          <w:trHeight w:val="60"/>
          <w:jc w:val="center"/>
        </w:trPr>
        <w:tc>
          <w:tcPr>
            <w:tcW w:w="1560" w:type="dxa"/>
            <w:tcBorders>
              <w:top w:val="nil"/>
              <w:left w:val="nil"/>
              <w:bottom w:val="nil"/>
              <w:right w:val="nil"/>
            </w:tcBorders>
            <w:shd w:val="clear" w:color="000000" w:fill="FFFFFF"/>
            <w:vAlign w:val="center"/>
            <w:hideMark/>
          </w:tcPr>
          <w:p w14:paraId="35011535"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i/>
                <w:iCs/>
                <w:sz w:val="18"/>
                <w:szCs w:val="18"/>
              </w:rPr>
            </w:pPr>
            <w:r w:rsidRPr="008026BD">
              <w:rPr>
                <w:rFonts w:ascii="Cambria" w:eastAsia="Times New Roman" w:hAnsi="Cambria" w:cs="Times New Roman"/>
                <w:i/>
                <w:iCs/>
                <w:sz w:val="18"/>
                <w:szCs w:val="18"/>
              </w:rPr>
              <w:t> </w:t>
            </w:r>
          </w:p>
        </w:tc>
        <w:tc>
          <w:tcPr>
            <w:tcW w:w="253" w:type="dxa"/>
            <w:tcBorders>
              <w:top w:val="nil"/>
              <w:left w:val="nil"/>
              <w:bottom w:val="nil"/>
              <w:right w:val="nil"/>
            </w:tcBorders>
            <w:shd w:val="clear" w:color="000000" w:fill="FFFFFF"/>
            <w:vAlign w:val="center"/>
            <w:hideMark/>
          </w:tcPr>
          <w:p w14:paraId="059772C4"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 </w:t>
            </w:r>
          </w:p>
        </w:tc>
        <w:tc>
          <w:tcPr>
            <w:tcW w:w="1448" w:type="dxa"/>
            <w:tcBorders>
              <w:top w:val="nil"/>
              <w:left w:val="nil"/>
              <w:bottom w:val="nil"/>
              <w:right w:val="nil"/>
            </w:tcBorders>
            <w:shd w:val="clear" w:color="000000" w:fill="FFFFFF"/>
            <w:noWrap/>
            <w:vAlign w:val="bottom"/>
            <w:hideMark/>
          </w:tcPr>
          <w:p w14:paraId="1E1A7AE2"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 </w:t>
            </w:r>
          </w:p>
        </w:tc>
        <w:tc>
          <w:tcPr>
            <w:tcW w:w="960" w:type="dxa"/>
            <w:tcBorders>
              <w:top w:val="nil"/>
              <w:left w:val="nil"/>
              <w:bottom w:val="nil"/>
              <w:right w:val="nil"/>
            </w:tcBorders>
            <w:shd w:val="clear" w:color="000000" w:fill="FFFFFF"/>
            <w:noWrap/>
            <w:vAlign w:val="bottom"/>
            <w:hideMark/>
          </w:tcPr>
          <w:p w14:paraId="78E8F3FC"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 </w:t>
            </w:r>
          </w:p>
        </w:tc>
        <w:tc>
          <w:tcPr>
            <w:tcW w:w="840" w:type="dxa"/>
            <w:tcBorders>
              <w:top w:val="nil"/>
              <w:left w:val="nil"/>
              <w:bottom w:val="nil"/>
              <w:right w:val="nil"/>
            </w:tcBorders>
            <w:shd w:val="clear" w:color="000000" w:fill="FFFFFF"/>
            <w:noWrap/>
            <w:vAlign w:val="bottom"/>
            <w:hideMark/>
          </w:tcPr>
          <w:p w14:paraId="1BE4FA1E"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 </w:t>
            </w:r>
          </w:p>
        </w:tc>
        <w:tc>
          <w:tcPr>
            <w:tcW w:w="760" w:type="dxa"/>
            <w:tcBorders>
              <w:top w:val="nil"/>
              <w:left w:val="nil"/>
              <w:bottom w:val="nil"/>
              <w:right w:val="nil"/>
            </w:tcBorders>
            <w:shd w:val="clear" w:color="000000" w:fill="FFFFFF"/>
            <w:noWrap/>
            <w:vAlign w:val="bottom"/>
            <w:hideMark/>
          </w:tcPr>
          <w:p w14:paraId="3A5C1635"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 </w:t>
            </w:r>
          </w:p>
        </w:tc>
        <w:tc>
          <w:tcPr>
            <w:tcW w:w="376" w:type="dxa"/>
            <w:tcBorders>
              <w:top w:val="nil"/>
              <w:left w:val="nil"/>
              <w:bottom w:val="nil"/>
              <w:right w:val="nil"/>
            </w:tcBorders>
            <w:shd w:val="clear" w:color="000000" w:fill="FFFFFF"/>
            <w:noWrap/>
            <w:vAlign w:val="bottom"/>
            <w:hideMark/>
          </w:tcPr>
          <w:p w14:paraId="79CCC9C4"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Times New Roman"/>
                <w:sz w:val="18"/>
                <w:szCs w:val="18"/>
              </w:rPr>
            </w:pPr>
            <w:r w:rsidRPr="008026BD">
              <w:rPr>
                <w:rFonts w:eastAsia="Times New Roman" w:cs="Times New Roman"/>
                <w:sz w:val="18"/>
                <w:szCs w:val="18"/>
              </w:rPr>
              <w:t> </w:t>
            </w:r>
          </w:p>
        </w:tc>
      </w:tr>
      <w:tr w:rsidR="001C5041" w:rsidRPr="008026BD" w14:paraId="1A54A299" w14:textId="77777777" w:rsidTr="00660394">
        <w:trPr>
          <w:trHeight w:val="210"/>
          <w:jc w:val="center"/>
        </w:trPr>
        <w:tc>
          <w:tcPr>
            <w:tcW w:w="1560" w:type="dxa"/>
            <w:vMerge w:val="restart"/>
            <w:tcBorders>
              <w:top w:val="nil"/>
              <w:left w:val="nil"/>
              <w:bottom w:val="nil"/>
              <w:right w:val="nil"/>
            </w:tcBorders>
            <w:shd w:val="clear" w:color="000000" w:fill="FFFFFF"/>
            <w:vAlign w:val="center"/>
            <w:hideMark/>
          </w:tcPr>
          <w:p w14:paraId="0976E1D0"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i/>
                <w:iCs/>
                <w:sz w:val="18"/>
                <w:szCs w:val="18"/>
              </w:rPr>
            </w:pPr>
            <w:r w:rsidRPr="008026BD">
              <w:rPr>
                <w:rFonts w:ascii="Cambria" w:eastAsia="Times New Roman" w:hAnsi="Cambria" w:cs="Times New Roman"/>
                <w:i/>
                <w:iCs/>
                <w:sz w:val="18"/>
                <w:szCs w:val="18"/>
              </w:rPr>
              <w:t>Average stem volume          (square root)</w:t>
            </w:r>
          </w:p>
        </w:tc>
        <w:tc>
          <w:tcPr>
            <w:tcW w:w="253" w:type="dxa"/>
            <w:tcBorders>
              <w:top w:val="nil"/>
              <w:left w:val="nil"/>
              <w:bottom w:val="nil"/>
              <w:right w:val="nil"/>
            </w:tcBorders>
            <w:shd w:val="clear" w:color="000000" w:fill="FFFFFF"/>
            <w:vAlign w:val="center"/>
            <w:hideMark/>
          </w:tcPr>
          <w:p w14:paraId="30C19AC4"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 </w:t>
            </w:r>
          </w:p>
        </w:tc>
        <w:tc>
          <w:tcPr>
            <w:tcW w:w="1448" w:type="dxa"/>
            <w:tcBorders>
              <w:top w:val="nil"/>
              <w:left w:val="nil"/>
              <w:bottom w:val="nil"/>
              <w:right w:val="nil"/>
            </w:tcBorders>
            <w:shd w:val="clear" w:color="000000" w:fill="FFFFFF"/>
            <w:noWrap/>
            <w:vAlign w:val="bottom"/>
            <w:hideMark/>
          </w:tcPr>
          <w:p w14:paraId="0E5B1F82"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Sand(%)</w:t>
            </w:r>
          </w:p>
        </w:tc>
        <w:tc>
          <w:tcPr>
            <w:tcW w:w="960" w:type="dxa"/>
            <w:tcBorders>
              <w:top w:val="nil"/>
              <w:left w:val="nil"/>
              <w:bottom w:val="nil"/>
              <w:right w:val="nil"/>
            </w:tcBorders>
            <w:shd w:val="clear" w:color="000000" w:fill="FFFFFF"/>
            <w:noWrap/>
            <w:vAlign w:val="bottom"/>
            <w:hideMark/>
          </w:tcPr>
          <w:p w14:paraId="58D46A95"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90</w:t>
            </w:r>
          </w:p>
        </w:tc>
        <w:tc>
          <w:tcPr>
            <w:tcW w:w="840" w:type="dxa"/>
            <w:tcBorders>
              <w:top w:val="nil"/>
              <w:left w:val="nil"/>
              <w:bottom w:val="nil"/>
              <w:right w:val="nil"/>
            </w:tcBorders>
            <w:shd w:val="clear" w:color="000000" w:fill="FFFFFF"/>
            <w:noWrap/>
            <w:vAlign w:val="bottom"/>
            <w:hideMark/>
          </w:tcPr>
          <w:p w14:paraId="6809C459"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3.162</w:t>
            </w:r>
          </w:p>
        </w:tc>
        <w:tc>
          <w:tcPr>
            <w:tcW w:w="760" w:type="dxa"/>
            <w:tcBorders>
              <w:top w:val="nil"/>
              <w:left w:val="nil"/>
              <w:bottom w:val="nil"/>
              <w:right w:val="nil"/>
            </w:tcBorders>
            <w:shd w:val="clear" w:color="000000" w:fill="FFFFFF"/>
            <w:noWrap/>
            <w:vAlign w:val="bottom"/>
            <w:hideMark/>
          </w:tcPr>
          <w:p w14:paraId="59BE6B96"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0.079</w:t>
            </w:r>
          </w:p>
        </w:tc>
        <w:tc>
          <w:tcPr>
            <w:tcW w:w="376" w:type="dxa"/>
            <w:tcBorders>
              <w:top w:val="nil"/>
              <w:left w:val="nil"/>
              <w:bottom w:val="nil"/>
              <w:right w:val="nil"/>
            </w:tcBorders>
            <w:shd w:val="clear" w:color="000000" w:fill="FFFFFF"/>
            <w:noWrap/>
            <w:vAlign w:val="bottom"/>
            <w:hideMark/>
          </w:tcPr>
          <w:p w14:paraId="793250DA"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Times New Roman"/>
                <w:sz w:val="18"/>
                <w:szCs w:val="18"/>
              </w:rPr>
            </w:pPr>
            <w:r w:rsidRPr="008026BD">
              <w:rPr>
                <w:rFonts w:eastAsia="Times New Roman" w:cs="Times New Roman"/>
                <w:sz w:val="18"/>
                <w:szCs w:val="18"/>
              </w:rPr>
              <w:t> </w:t>
            </w:r>
          </w:p>
        </w:tc>
      </w:tr>
      <w:tr w:rsidR="001C5041" w:rsidRPr="008026BD" w14:paraId="7BCB907D" w14:textId="77777777" w:rsidTr="00660394">
        <w:trPr>
          <w:trHeight w:val="210"/>
          <w:jc w:val="center"/>
        </w:trPr>
        <w:tc>
          <w:tcPr>
            <w:tcW w:w="1560" w:type="dxa"/>
            <w:vMerge/>
            <w:tcBorders>
              <w:top w:val="nil"/>
              <w:left w:val="nil"/>
              <w:bottom w:val="nil"/>
              <w:right w:val="nil"/>
            </w:tcBorders>
            <w:vAlign w:val="center"/>
            <w:hideMark/>
          </w:tcPr>
          <w:p w14:paraId="3BEE9489"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i/>
                <w:iCs/>
                <w:sz w:val="18"/>
                <w:szCs w:val="18"/>
              </w:rPr>
            </w:pPr>
          </w:p>
        </w:tc>
        <w:tc>
          <w:tcPr>
            <w:tcW w:w="253" w:type="dxa"/>
            <w:tcBorders>
              <w:top w:val="nil"/>
              <w:left w:val="nil"/>
              <w:bottom w:val="nil"/>
              <w:right w:val="nil"/>
            </w:tcBorders>
            <w:shd w:val="clear" w:color="000000" w:fill="FFFFFF"/>
            <w:vAlign w:val="center"/>
            <w:hideMark/>
          </w:tcPr>
          <w:p w14:paraId="4AC51426"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 </w:t>
            </w:r>
          </w:p>
        </w:tc>
        <w:tc>
          <w:tcPr>
            <w:tcW w:w="1448" w:type="dxa"/>
            <w:tcBorders>
              <w:top w:val="nil"/>
              <w:left w:val="nil"/>
              <w:bottom w:val="nil"/>
              <w:right w:val="nil"/>
            </w:tcBorders>
            <w:shd w:val="clear" w:color="000000" w:fill="FFFFFF"/>
            <w:noWrap/>
            <w:vAlign w:val="bottom"/>
            <w:hideMark/>
          </w:tcPr>
          <w:p w14:paraId="05A2E17B"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Soil group</w:t>
            </w:r>
          </w:p>
        </w:tc>
        <w:tc>
          <w:tcPr>
            <w:tcW w:w="960" w:type="dxa"/>
            <w:tcBorders>
              <w:top w:val="nil"/>
              <w:left w:val="nil"/>
              <w:bottom w:val="nil"/>
              <w:right w:val="nil"/>
            </w:tcBorders>
            <w:shd w:val="clear" w:color="000000" w:fill="FFFFFF"/>
            <w:noWrap/>
            <w:vAlign w:val="bottom"/>
            <w:hideMark/>
          </w:tcPr>
          <w:p w14:paraId="54B0DFD5"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90</w:t>
            </w:r>
          </w:p>
        </w:tc>
        <w:tc>
          <w:tcPr>
            <w:tcW w:w="840" w:type="dxa"/>
            <w:tcBorders>
              <w:top w:val="nil"/>
              <w:left w:val="nil"/>
              <w:bottom w:val="nil"/>
              <w:right w:val="nil"/>
            </w:tcBorders>
            <w:shd w:val="clear" w:color="000000" w:fill="FFFFFF"/>
            <w:noWrap/>
            <w:vAlign w:val="bottom"/>
            <w:hideMark/>
          </w:tcPr>
          <w:p w14:paraId="2087D868"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2.665</w:t>
            </w:r>
          </w:p>
        </w:tc>
        <w:tc>
          <w:tcPr>
            <w:tcW w:w="760" w:type="dxa"/>
            <w:tcBorders>
              <w:top w:val="nil"/>
              <w:left w:val="nil"/>
              <w:bottom w:val="nil"/>
              <w:right w:val="nil"/>
            </w:tcBorders>
            <w:shd w:val="clear" w:color="000000" w:fill="FFFFFF"/>
            <w:noWrap/>
            <w:vAlign w:val="bottom"/>
            <w:hideMark/>
          </w:tcPr>
          <w:p w14:paraId="1685C216"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0.106</w:t>
            </w:r>
          </w:p>
        </w:tc>
        <w:tc>
          <w:tcPr>
            <w:tcW w:w="376" w:type="dxa"/>
            <w:tcBorders>
              <w:top w:val="nil"/>
              <w:left w:val="nil"/>
              <w:bottom w:val="nil"/>
              <w:right w:val="nil"/>
            </w:tcBorders>
            <w:shd w:val="clear" w:color="000000" w:fill="FFFFFF"/>
            <w:noWrap/>
            <w:vAlign w:val="bottom"/>
            <w:hideMark/>
          </w:tcPr>
          <w:p w14:paraId="2473713A"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Times New Roman"/>
                <w:sz w:val="18"/>
                <w:szCs w:val="18"/>
              </w:rPr>
            </w:pPr>
            <w:r w:rsidRPr="008026BD">
              <w:rPr>
                <w:rFonts w:eastAsia="Times New Roman" w:cs="Times New Roman"/>
                <w:sz w:val="18"/>
                <w:szCs w:val="18"/>
              </w:rPr>
              <w:t> </w:t>
            </w:r>
          </w:p>
        </w:tc>
      </w:tr>
      <w:tr w:rsidR="001C5041" w:rsidRPr="008026BD" w14:paraId="276AC821" w14:textId="77777777" w:rsidTr="00660394">
        <w:trPr>
          <w:trHeight w:val="210"/>
          <w:jc w:val="center"/>
        </w:trPr>
        <w:tc>
          <w:tcPr>
            <w:tcW w:w="1560" w:type="dxa"/>
            <w:vMerge/>
            <w:tcBorders>
              <w:top w:val="nil"/>
              <w:left w:val="nil"/>
              <w:bottom w:val="nil"/>
              <w:right w:val="nil"/>
            </w:tcBorders>
            <w:vAlign w:val="center"/>
            <w:hideMark/>
          </w:tcPr>
          <w:p w14:paraId="4B73041F"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i/>
                <w:iCs/>
                <w:sz w:val="18"/>
                <w:szCs w:val="18"/>
              </w:rPr>
            </w:pPr>
          </w:p>
        </w:tc>
        <w:tc>
          <w:tcPr>
            <w:tcW w:w="253" w:type="dxa"/>
            <w:tcBorders>
              <w:top w:val="nil"/>
              <w:left w:val="nil"/>
              <w:bottom w:val="nil"/>
              <w:right w:val="nil"/>
            </w:tcBorders>
            <w:shd w:val="clear" w:color="000000" w:fill="FFFFFF"/>
            <w:vAlign w:val="center"/>
            <w:hideMark/>
          </w:tcPr>
          <w:p w14:paraId="1671E4B8"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 </w:t>
            </w:r>
          </w:p>
        </w:tc>
        <w:tc>
          <w:tcPr>
            <w:tcW w:w="1448" w:type="dxa"/>
            <w:tcBorders>
              <w:top w:val="nil"/>
              <w:left w:val="nil"/>
              <w:bottom w:val="nil"/>
              <w:right w:val="nil"/>
            </w:tcBorders>
            <w:shd w:val="clear" w:color="000000" w:fill="FFFFFF"/>
            <w:noWrap/>
            <w:vAlign w:val="bottom"/>
            <w:hideMark/>
          </w:tcPr>
          <w:p w14:paraId="2A6016F3" w14:textId="25C6400E" w:rsidR="001C5041" w:rsidRPr="008026BD" w:rsidRDefault="009349E6"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F</w:t>
            </w:r>
            <w:r w:rsidR="001C5041" w:rsidRPr="008026BD">
              <w:rPr>
                <w:rFonts w:ascii="Cambria" w:eastAsia="Times New Roman" w:hAnsi="Cambria" w:cs="Times New Roman"/>
                <w:sz w:val="18"/>
                <w:szCs w:val="18"/>
              </w:rPr>
              <w:t>orest coverage</w:t>
            </w:r>
          </w:p>
        </w:tc>
        <w:tc>
          <w:tcPr>
            <w:tcW w:w="960" w:type="dxa"/>
            <w:tcBorders>
              <w:top w:val="nil"/>
              <w:left w:val="nil"/>
              <w:bottom w:val="nil"/>
              <w:right w:val="nil"/>
            </w:tcBorders>
            <w:shd w:val="clear" w:color="000000" w:fill="FFFFFF"/>
            <w:noWrap/>
            <w:vAlign w:val="bottom"/>
            <w:hideMark/>
          </w:tcPr>
          <w:p w14:paraId="435D3348"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90</w:t>
            </w:r>
          </w:p>
        </w:tc>
        <w:tc>
          <w:tcPr>
            <w:tcW w:w="840" w:type="dxa"/>
            <w:tcBorders>
              <w:top w:val="nil"/>
              <w:left w:val="nil"/>
              <w:bottom w:val="nil"/>
              <w:right w:val="nil"/>
            </w:tcBorders>
            <w:shd w:val="clear" w:color="000000" w:fill="FFFFFF"/>
            <w:noWrap/>
            <w:vAlign w:val="bottom"/>
            <w:hideMark/>
          </w:tcPr>
          <w:p w14:paraId="6985242D"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12.859</w:t>
            </w:r>
          </w:p>
        </w:tc>
        <w:tc>
          <w:tcPr>
            <w:tcW w:w="760" w:type="dxa"/>
            <w:tcBorders>
              <w:top w:val="nil"/>
              <w:left w:val="nil"/>
              <w:bottom w:val="nil"/>
              <w:right w:val="nil"/>
            </w:tcBorders>
            <w:shd w:val="clear" w:color="000000" w:fill="FFFFFF"/>
            <w:noWrap/>
            <w:vAlign w:val="bottom"/>
            <w:hideMark/>
          </w:tcPr>
          <w:p w14:paraId="33C9B614"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&lt;0.001</w:t>
            </w:r>
          </w:p>
        </w:tc>
        <w:tc>
          <w:tcPr>
            <w:tcW w:w="376" w:type="dxa"/>
            <w:tcBorders>
              <w:top w:val="nil"/>
              <w:left w:val="nil"/>
              <w:bottom w:val="nil"/>
              <w:right w:val="nil"/>
            </w:tcBorders>
            <w:shd w:val="clear" w:color="000000" w:fill="FFFFFF"/>
            <w:noWrap/>
            <w:vAlign w:val="bottom"/>
            <w:hideMark/>
          </w:tcPr>
          <w:p w14:paraId="5C5AEE09"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Times New Roman"/>
                <w:sz w:val="18"/>
                <w:szCs w:val="18"/>
              </w:rPr>
            </w:pPr>
            <w:r w:rsidRPr="008026BD">
              <w:rPr>
                <w:rFonts w:eastAsia="Times New Roman" w:cs="Times New Roman"/>
                <w:sz w:val="18"/>
                <w:szCs w:val="18"/>
              </w:rPr>
              <w:t>**</w:t>
            </w:r>
          </w:p>
        </w:tc>
      </w:tr>
      <w:tr w:rsidR="001C5041" w:rsidRPr="008026BD" w14:paraId="4F12AF89" w14:textId="77777777" w:rsidTr="00660394">
        <w:trPr>
          <w:trHeight w:val="210"/>
          <w:jc w:val="center"/>
        </w:trPr>
        <w:tc>
          <w:tcPr>
            <w:tcW w:w="1560" w:type="dxa"/>
            <w:vMerge/>
            <w:tcBorders>
              <w:top w:val="nil"/>
              <w:left w:val="nil"/>
              <w:bottom w:val="nil"/>
              <w:right w:val="nil"/>
            </w:tcBorders>
            <w:vAlign w:val="center"/>
            <w:hideMark/>
          </w:tcPr>
          <w:p w14:paraId="468C734D"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i/>
                <w:iCs/>
                <w:sz w:val="18"/>
                <w:szCs w:val="18"/>
              </w:rPr>
            </w:pPr>
          </w:p>
        </w:tc>
        <w:tc>
          <w:tcPr>
            <w:tcW w:w="253" w:type="dxa"/>
            <w:tcBorders>
              <w:top w:val="nil"/>
              <w:left w:val="nil"/>
              <w:bottom w:val="nil"/>
              <w:right w:val="nil"/>
            </w:tcBorders>
            <w:shd w:val="clear" w:color="000000" w:fill="FFFFFF"/>
            <w:vAlign w:val="center"/>
            <w:hideMark/>
          </w:tcPr>
          <w:p w14:paraId="15303E98"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 </w:t>
            </w:r>
          </w:p>
        </w:tc>
        <w:tc>
          <w:tcPr>
            <w:tcW w:w="1448" w:type="dxa"/>
            <w:tcBorders>
              <w:top w:val="nil"/>
              <w:left w:val="nil"/>
              <w:bottom w:val="nil"/>
              <w:right w:val="nil"/>
            </w:tcBorders>
            <w:shd w:val="clear" w:color="000000" w:fill="FFFFFF"/>
            <w:noWrap/>
            <w:vAlign w:val="bottom"/>
            <w:hideMark/>
          </w:tcPr>
          <w:p w14:paraId="76DE1D17"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Sand:Soil</w:t>
            </w:r>
          </w:p>
        </w:tc>
        <w:tc>
          <w:tcPr>
            <w:tcW w:w="960" w:type="dxa"/>
            <w:tcBorders>
              <w:top w:val="nil"/>
              <w:left w:val="nil"/>
              <w:bottom w:val="nil"/>
              <w:right w:val="nil"/>
            </w:tcBorders>
            <w:shd w:val="clear" w:color="000000" w:fill="FFFFFF"/>
            <w:noWrap/>
            <w:vAlign w:val="bottom"/>
            <w:hideMark/>
          </w:tcPr>
          <w:p w14:paraId="420EED52"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90</w:t>
            </w:r>
          </w:p>
        </w:tc>
        <w:tc>
          <w:tcPr>
            <w:tcW w:w="840" w:type="dxa"/>
            <w:tcBorders>
              <w:top w:val="nil"/>
              <w:left w:val="nil"/>
              <w:bottom w:val="nil"/>
              <w:right w:val="nil"/>
            </w:tcBorders>
            <w:shd w:val="clear" w:color="000000" w:fill="FFFFFF"/>
            <w:noWrap/>
            <w:vAlign w:val="bottom"/>
            <w:hideMark/>
          </w:tcPr>
          <w:p w14:paraId="51B34744"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0.856</w:t>
            </w:r>
          </w:p>
        </w:tc>
        <w:tc>
          <w:tcPr>
            <w:tcW w:w="760" w:type="dxa"/>
            <w:tcBorders>
              <w:top w:val="nil"/>
              <w:left w:val="nil"/>
              <w:bottom w:val="nil"/>
              <w:right w:val="nil"/>
            </w:tcBorders>
            <w:shd w:val="clear" w:color="000000" w:fill="FFFFFF"/>
            <w:noWrap/>
            <w:vAlign w:val="bottom"/>
            <w:hideMark/>
          </w:tcPr>
          <w:p w14:paraId="65C1EBCB"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0.357</w:t>
            </w:r>
          </w:p>
        </w:tc>
        <w:tc>
          <w:tcPr>
            <w:tcW w:w="376" w:type="dxa"/>
            <w:tcBorders>
              <w:top w:val="nil"/>
              <w:left w:val="nil"/>
              <w:bottom w:val="nil"/>
              <w:right w:val="nil"/>
            </w:tcBorders>
            <w:shd w:val="clear" w:color="000000" w:fill="FFFFFF"/>
            <w:noWrap/>
            <w:vAlign w:val="bottom"/>
            <w:hideMark/>
          </w:tcPr>
          <w:p w14:paraId="5B7FC0C2"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Times New Roman"/>
                <w:sz w:val="18"/>
                <w:szCs w:val="18"/>
              </w:rPr>
            </w:pPr>
            <w:r w:rsidRPr="008026BD">
              <w:rPr>
                <w:rFonts w:eastAsia="Times New Roman" w:cs="Times New Roman"/>
                <w:sz w:val="18"/>
                <w:szCs w:val="18"/>
              </w:rPr>
              <w:t> </w:t>
            </w:r>
          </w:p>
        </w:tc>
      </w:tr>
      <w:tr w:rsidR="001C5041" w:rsidRPr="008026BD" w14:paraId="38F114AC" w14:textId="77777777" w:rsidTr="00660394">
        <w:trPr>
          <w:trHeight w:val="60"/>
          <w:jc w:val="center"/>
        </w:trPr>
        <w:tc>
          <w:tcPr>
            <w:tcW w:w="1560" w:type="dxa"/>
            <w:tcBorders>
              <w:top w:val="nil"/>
              <w:left w:val="nil"/>
              <w:bottom w:val="nil"/>
              <w:right w:val="nil"/>
            </w:tcBorders>
            <w:shd w:val="clear" w:color="000000" w:fill="FFFFFF"/>
            <w:noWrap/>
            <w:vAlign w:val="bottom"/>
            <w:hideMark/>
          </w:tcPr>
          <w:p w14:paraId="1AE50B8A"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Times New Roman"/>
                <w:sz w:val="18"/>
                <w:szCs w:val="18"/>
              </w:rPr>
            </w:pPr>
            <w:r w:rsidRPr="008026BD">
              <w:rPr>
                <w:rFonts w:eastAsia="Times New Roman" w:cs="Times New Roman"/>
                <w:sz w:val="18"/>
                <w:szCs w:val="18"/>
              </w:rPr>
              <w:t> </w:t>
            </w:r>
          </w:p>
        </w:tc>
        <w:tc>
          <w:tcPr>
            <w:tcW w:w="253" w:type="dxa"/>
            <w:tcBorders>
              <w:top w:val="nil"/>
              <w:left w:val="nil"/>
              <w:bottom w:val="nil"/>
              <w:right w:val="nil"/>
            </w:tcBorders>
            <w:shd w:val="clear" w:color="000000" w:fill="FFFFFF"/>
            <w:noWrap/>
            <w:vAlign w:val="bottom"/>
            <w:hideMark/>
          </w:tcPr>
          <w:p w14:paraId="5FF86EC5"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Times New Roman"/>
                <w:sz w:val="18"/>
                <w:szCs w:val="18"/>
              </w:rPr>
            </w:pPr>
            <w:r w:rsidRPr="008026BD">
              <w:rPr>
                <w:rFonts w:eastAsia="Times New Roman" w:cs="Times New Roman"/>
                <w:sz w:val="18"/>
                <w:szCs w:val="18"/>
              </w:rPr>
              <w:t> </w:t>
            </w:r>
          </w:p>
        </w:tc>
        <w:tc>
          <w:tcPr>
            <w:tcW w:w="1448" w:type="dxa"/>
            <w:tcBorders>
              <w:top w:val="nil"/>
              <w:left w:val="nil"/>
              <w:bottom w:val="nil"/>
              <w:right w:val="nil"/>
            </w:tcBorders>
            <w:shd w:val="clear" w:color="000000" w:fill="FFFFFF"/>
            <w:noWrap/>
            <w:vAlign w:val="bottom"/>
            <w:hideMark/>
          </w:tcPr>
          <w:p w14:paraId="58BE59E6"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Times New Roman"/>
                <w:sz w:val="18"/>
                <w:szCs w:val="18"/>
              </w:rPr>
            </w:pPr>
            <w:r w:rsidRPr="008026BD">
              <w:rPr>
                <w:rFonts w:eastAsia="Times New Roman" w:cs="Times New Roman"/>
                <w:sz w:val="18"/>
                <w:szCs w:val="18"/>
              </w:rPr>
              <w:t> </w:t>
            </w:r>
          </w:p>
        </w:tc>
        <w:tc>
          <w:tcPr>
            <w:tcW w:w="960" w:type="dxa"/>
            <w:tcBorders>
              <w:top w:val="nil"/>
              <w:left w:val="nil"/>
              <w:bottom w:val="nil"/>
              <w:right w:val="nil"/>
            </w:tcBorders>
            <w:shd w:val="clear" w:color="000000" w:fill="FFFFFF"/>
            <w:noWrap/>
            <w:vAlign w:val="bottom"/>
            <w:hideMark/>
          </w:tcPr>
          <w:p w14:paraId="198BC0B2"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Times New Roman"/>
                <w:sz w:val="18"/>
                <w:szCs w:val="18"/>
              </w:rPr>
            </w:pPr>
            <w:r w:rsidRPr="008026BD">
              <w:rPr>
                <w:rFonts w:eastAsia="Times New Roman" w:cs="Times New Roman"/>
                <w:sz w:val="18"/>
                <w:szCs w:val="18"/>
              </w:rPr>
              <w:t> </w:t>
            </w:r>
          </w:p>
        </w:tc>
        <w:tc>
          <w:tcPr>
            <w:tcW w:w="840" w:type="dxa"/>
            <w:tcBorders>
              <w:top w:val="nil"/>
              <w:left w:val="nil"/>
              <w:bottom w:val="nil"/>
              <w:right w:val="nil"/>
            </w:tcBorders>
            <w:shd w:val="clear" w:color="000000" w:fill="FFFFFF"/>
            <w:noWrap/>
            <w:vAlign w:val="bottom"/>
            <w:hideMark/>
          </w:tcPr>
          <w:p w14:paraId="216C34F9"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Times New Roman"/>
                <w:sz w:val="18"/>
                <w:szCs w:val="18"/>
              </w:rPr>
            </w:pPr>
            <w:r w:rsidRPr="008026BD">
              <w:rPr>
                <w:rFonts w:eastAsia="Times New Roman" w:cs="Times New Roman"/>
                <w:sz w:val="18"/>
                <w:szCs w:val="18"/>
              </w:rPr>
              <w:t> </w:t>
            </w:r>
          </w:p>
        </w:tc>
        <w:tc>
          <w:tcPr>
            <w:tcW w:w="760" w:type="dxa"/>
            <w:tcBorders>
              <w:top w:val="nil"/>
              <w:left w:val="nil"/>
              <w:bottom w:val="nil"/>
              <w:right w:val="nil"/>
            </w:tcBorders>
            <w:shd w:val="clear" w:color="000000" w:fill="FFFFFF"/>
            <w:noWrap/>
            <w:vAlign w:val="bottom"/>
            <w:hideMark/>
          </w:tcPr>
          <w:p w14:paraId="4F38F2CC"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Times New Roman"/>
                <w:sz w:val="18"/>
                <w:szCs w:val="18"/>
              </w:rPr>
            </w:pPr>
            <w:r w:rsidRPr="008026BD">
              <w:rPr>
                <w:rFonts w:eastAsia="Times New Roman" w:cs="Times New Roman"/>
                <w:sz w:val="18"/>
                <w:szCs w:val="18"/>
              </w:rPr>
              <w:t> </w:t>
            </w:r>
          </w:p>
        </w:tc>
        <w:tc>
          <w:tcPr>
            <w:tcW w:w="376" w:type="dxa"/>
            <w:tcBorders>
              <w:top w:val="nil"/>
              <w:left w:val="nil"/>
              <w:bottom w:val="nil"/>
              <w:right w:val="nil"/>
            </w:tcBorders>
            <w:shd w:val="clear" w:color="000000" w:fill="FFFFFF"/>
            <w:noWrap/>
            <w:vAlign w:val="bottom"/>
            <w:hideMark/>
          </w:tcPr>
          <w:p w14:paraId="56C75ABE"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Times New Roman"/>
                <w:sz w:val="18"/>
                <w:szCs w:val="18"/>
              </w:rPr>
            </w:pPr>
            <w:r w:rsidRPr="008026BD">
              <w:rPr>
                <w:rFonts w:eastAsia="Times New Roman" w:cs="Times New Roman"/>
                <w:sz w:val="18"/>
                <w:szCs w:val="18"/>
              </w:rPr>
              <w:t> </w:t>
            </w:r>
          </w:p>
        </w:tc>
      </w:tr>
      <w:tr w:rsidR="001C5041" w:rsidRPr="008026BD" w14:paraId="221FB2C2" w14:textId="77777777" w:rsidTr="00660394">
        <w:trPr>
          <w:trHeight w:val="210"/>
          <w:jc w:val="center"/>
        </w:trPr>
        <w:tc>
          <w:tcPr>
            <w:tcW w:w="1560" w:type="dxa"/>
            <w:vMerge w:val="restart"/>
            <w:tcBorders>
              <w:top w:val="nil"/>
              <w:left w:val="nil"/>
              <w:bottom w:val="nil"/>
              <w:right w:val="nil"/>
            </w:tcBorders>
            <w:shd w:val="clear" w:color="000000" w:fill="FFFFFF"/>
            <w:vAlign w:val="center"/>
            <w:hideMark/>
          </w:tcPr>
          <w:p w14:paraId="13B2E8AC"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i/>
                <w:iCs/>
                <w:sz w:val="18"/>
                <w:szCs w:val="18"/>
              </w:rPr>
            </w:pPr>
            <w:r w:rsidRPr="008026BD">
              <w:rPr>
                <w:rFonts w:ascii="Cambria" w:eastAsia="Times New Roman" w:hAnsi="Cambria" w:cs="Times New Roman"/>
                <w:i/>
                <w:iCs/>
                <w:sz w:val="18"/>
                <w:szCs w:val="18"/>
              </w:rPr>
              <w:t>Species richness</w:t>
            </w:r>
          </w:p>
        </w:tc>
        <w:tc>
          <w:tcPr>
            <w:tcW w:w="253" w:type="dxa"/>
            <w:tcBorders>
              <w:top w:val="nil"/>
              <w:left w:val="nil"/>
              <w:bottom w:val="nil"/>
              <w:right w:val="nil"/>
            </w:tcBorders>
            <w:shd w:val="clear" w:color="000000" w:fill="FFFFFF"/>
            <w:noWrap/>
            <w:vAlign w:val="bottom"/>
            <w:hideMark/>
          </w:tcPr>
          <w:p w14:paraId="5194CE53"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Times New Roman"/>
                <w:sz w:val="18"/>
                <w:szCs w:val="18"/>
              </w:rPr>
            </w:pPr>
            <w:r w:rsidRPr="008026BD">
              <w:rPr>
                <w:rFonts w:eastAsia="Times New Roman" w:cs="Times New Roman"/>
                <w:sz w:val="18"/>
                <w:szCs w:val="18"/>
              </w:rPr>
              <w:t> </w:t>
            </w:r>
          </w:p>
        </w:tc>
        <w:tc>
          <w:tcPr>
            <w:tcW w:w="1448" w:type="dxa"/>
            <w:tcBorders>
              <w:top w:val="nil"/>
              <w:left w:val="nil"/>
              <w:bottom w:val="nil"/>
              <w:right w:val="nil"/>
            </w:tcBorders>
            <w:shd w:val="clear" w:color="000000" w:fill="FFFFFF"/>
            <w:noWrap/>
            <w:vAlign w:val="bottom"/>
            <w:hideMark/>
          </w:tcPr>
          <w:p w14:paraId="54BC16B3"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Sand(%)</w:t>
            </w:r>
          </w:p>
        </w:tc>
        <w:tc>
          <w:tcPr>
            <w:tcW w:w="960" w:type="dxa"/>
            <w:tcBorders>
              <w:top w:val="nil"/>
              <w:left w:val="nil"/>
              <w:bottom w:val="nil"/>
              <w:right w:val="nil"/>
            </w:tcBorders>
            <w:shd w:val="clear" w:color="000000" w:fill="FFFFFF"/>
            <w:noWrap/>
            <w:vAlign w:val="bottom"/>
            <w:hideMark/>
          </w:tcPr>
          <w:p w14:paraId="4EBFB4FB"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90</w:t>
            </w:r>
          </w:p>
        </w:tc>
        <w:tc>
          <w:tcPr>
            <w:tcW w:w="840" w:type="dxa"/>
            <w:tcBorders>
              <w:top w:val="nil"/>
              <w:left w:val="nil"/>
              <w:bottom w:val="nil"/>
              <w:right w:val="nil"/>
            </w:tcBorders>
            <w:shd w:val="clear" w:color="000000" w:fill="FFFFFF"/>
            <w:noWrap/>
            <w:vAlign w:val="bottom"/>
            <w:hideMark/>
          </w:tcPr>
          <w:p w14:paraId="2B8EE6DD"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2.899</w:t>
            </w:r>
          </w:p>
        </w:tc>
        <w:tc>
          <w:tcPr>
            <w:tcW w:w="760" w:type="dxa"/>
            <w:tcBorders>
              <w:top w:val="nil"/>
              <w:left w:val="nil"/>
              <w:bottom w:val="nil"/>
              <w:right w:val="nil"/>
            </w:tcBorders>
            <w:shd w:val="clear" w:color="000000" w:fill="FFFFFF"/>
            <w:noWrap/>
            <w:vAlign w:val="bottom"/>
            <w:hideMark/>
          </w:tcPr>
          <w:p w14:paraId="243B726C"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0.092</w:t>
            </w:r>
          </w:p>
        </w:tc>
        <w:tc>
          <w:tcPr>
            <w:tcW w:w="376" w:type="dxa"/>
            <w:tcBorders>
              <w:top w:val="nil"/>
              <w:left w:val="nil"/>
              <w:bottom w:val="nil"/>
              <w:right w:val="nil"/>
            </w:tcBorders>
            <w:shd w:val="clear" w:color="000000" w:fill="FFFFFF"/>
            <w:noWrap/>
            <w:vAlign w:val="bottom"/>
            <w:hideMark/>
          </w:tcPr>
          <w:p w14:paraId="17A14D50"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Times New Roman"/>
                <w:sz w:val="18"/>
                <w:szCs w:val="18"/>
              </w:rPr>
            </w:pPr>
            <w:r w:rsidRPr="008026BD">
              <w:rPr>
                <w:rFonts w:eastAsia="Times New Roman" w:cs="Times New Roman"/>
                <w:sz w:val="18"/>
                <w:szCs w:val="18"/>
              </w:rPr>
              <w:t> </w:t>
            </w:r>
          </w:p>
        </w:tc>
      </w:tr>
      <w:tr w:rsidR="001C5041" w:rsidRPr="008026BD" w14:paraId="769D3D58" w14:textId="77777777" w:rsidTr="00660394">
        <w:trPr>
          <w:trHeight w:val="210"/>
          <w:jc w:val="center"/>
        </w:trPr>
        <w:tc>
          <w:tcPr>
            <w:tcW w:w="1560" w:type="dxa"/>
            <w:vMerge/>
            <w:tcBorders>
              <w:top w:val="nil"/>
              <w:left w:val="nil"/>
              <w:bottom w:val="nil"/>
              <w:right w:val="nil"/>
            </w:tcBorders>
            <w:vAlign w:val="center"/>
            <w:hideMark/>
          </w:tcPr>
          <w:p w14:paraId="351974E6"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i/>
                <w:iCs/>
                <w:sz w:val="18"/>
                <w:szCs w:val="18"/>
              </w:rPr>
            </w:pPr>
          </w:p>
        </w:tc>
        <w:tc>
          <w:tcPr>
            <w:tcW w:w="253" w:type="dxa"/>
            <w:tcBorders>
              <w:top w:val="nil"/>
              <w:left w:val="nil"/>
              <w:bottom w:val="nil"/>
              <w:right w:val="nil"/>
            </w:tcBorders>
            <w:shd w:val="clear" w:color="000000" w:fill="FFFFFF"/>
            <w:noWrap/>
            <w:vAlign w:val="bottom"/>
            <w:hideMark/>
          </w:tcPr>
          <w:p w14:paraId="2CA66CC7"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Times New Roman"/>
                <w:sz w:val="18"/>
                <w:szCs w:val="18"/>
              </w:rPr>
            </w:pPr>
            <w:r w:rsidRPr="008026BD">
              <w:rPr>
                <w:rFonts w:eastAsia="Times New Roman" w:cs="Times New Roman"/>
                <w:sz w:val="18"/>
                <w:szCs w:val="18"/>
              </w:rPr>
              <w:t> </w:t>
            </w:r>
          </w:p>
        </w:tc>
        <w:tc>
          <w:tcPr>
            <w:tcW w:w="1448" w:type="dxa"/>
            <w:tcBorders>
              <w:top w:val="nil"/>
              <w:left w:val="nil"/>
              <w:bottom w:val="nil"/>
              <w:right w:val="nil"/>
            </w:tcBorders>
            <w:shd w:val="clear" w:color="000000" w:fill="FFFFFF"/>
            <w:noWrap/>
            <w:vAlign w:val="bottom"/>
            <w:hideMark/>
          </w:tcPr>
          <w:p w14:paraId="07A7E43D"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Soil group</w:t>
            </w:r>
          </w:p>
        </w:tc>
        <w:tc>
          <w:tcPr>
            <w:tcW w:w="960" w:type="dxa"/>
            <w:tcBorders>
              <w:top w:val="nil"/>
              <w:left w:val="nil"/>
              <w:bottom w:val="nil"/>
              <w:right w:val="nil"/>
            </w:tcBorders>
            <w:shd w:val="clear" w:color="000000" w:fill="FFFFFF"/>
            <w:noWrap/>
            <w:vAlign w:val="bottom"/>
            <w:hideMark/>
          </w:tcPr>
          <w:p w14:paraId="4EEBB8BF"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90</w:t>
            </w:r>
          </w:p>
        </w:tc>
        <w:tc>
          <w:tcPr>
            <w:tcW w:w="840" w:type="dxa"/>
            <w:tcBorders>
              <w:top w:val="nil"/>
              <w:left w:val="nil"/>
              <w:bottom w:val="nil"/>
              <w:right w:val="nil"/>
            </w:tcBorders>
            <w:shd w:val="clear" w:color="000000" w:fill="FFFFFF"/>
            <w:noWrap/>
            <w:vAlign w:val="bottom"/>
            <w:hideMark/>
          </w:tcPr>
          <w:p w14:paraId="441B6741"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0.239</w:t>
            </w:r>
          </w:p>
        </w:tc>
        <w:tc>
          <w:tcPr>
            <w:tcW w:w="760" w:type="dxa"/>
            <w:tcBorders>
              <w:top w:val="nil"/>
              <w:left w:val="nil"/>
              <w:bottom w:val="nil"/>
              <w:right w:val="nil"/>
            </w:tcBorders>
            <w:shd w:val="clear" w:color="000000" w:fill="FFFFFF"/>
            <w:noWrap/>
            <w:vAlign w:val="bottom"/>
            <w:hideMark/>
          </w:tcPr>
          <w:p w14:paraId="6A5509B8"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0.626</w:t>
            </w:r>
          </w:p>
        </w:tc>
        <w:tc>
          <w:tcPr>
            <w:tcW w:w="376" w:type="dxa"/>
            <w:tcBorders>
              <w:top w:val="nil"/>
              <w:left w:val="nil"/>
              <w:bottom w:val="nil"/>
              <w:right w:val="nil"/>
            </w:tcBorders>
            <w:shd w:val="clear" w:color="000000" w:fill="FFFFFF"/>
            <w:noWrap/>
            <w:vAlign w:val="bottom"/>
            <w:hideMark/>
          </w:tcPr>
          <w:p w14:paraId="5B62C144"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Times New Roman"/>
                <w:sz w:val="18"/>
                <w:szCs w:val="18"/>
              </w:rPr>
            </w:pPr>
            <w:r w:rsidRPr="008026BD">
              <w:rPr>
                <w:rFonts w:eastAsia="Times New Roman" w:cs="Times New Roman"/>
                <w:sz w:val="18"/>
                <w:szCs w:val="18"/>
              </w:rPr>
              <w:t> </w:t>
            </w:r>
          </w:p>
        </w:tc>
      </w:tr>
      <w:tr w:rsidR="001C5041" w:rsidRPr="008026BD" w14:paraId="613EE22A" w14:textId="77777777" w:rsidTr="00660394">
        <w:trPr>
          <w:trHeight w:val="210"/>
          <w:jc w:val="center"/>
        </w:trPr>
        <w:tc>
          <w:tcPr>
            <w:tcW w:w="1560" w:type="dxa"/>
            <w:vMerge/>
            <w:tcBorders>
              <w:top w:val="nil"/>
              <w:left w:val="nil"/>
              <w:bottom w:val="nil"/>
              <w:right w:val="nil"/>
            </w:tcBorders>
            <w:vAlign w:val="center"/>
            <w:hideMark/>
          </w:tcPr>
          <w:p w14:paraId="09474B8A"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i/>
                <w:iCs/>
                <w:sz w:val="18"/>
                <w:szCs w:val="18"/>
              </w:rPr>
            </w:pPr>
          </w:p>
        </w:tc>
        <w:tc>
          <w:tcPr>
            <w:tcW w:w="253" w:type="dxa"/>
            <w:tcBorders>
              <w:top w:val="nil"/>
              <w:left w:val="nil"/>
              <w:bottom w:val="nil"/>
              <w:right w:val="nil"/>
            </w:tcBorders>
            <w:shd w:val="clear" w:color="000000" w:fill="FFFFFF"/>
            <w:noWrap/>
            <w:vAlign w:val="bottom"/>
            <w:hideMark/>
          </w:tcPr>
          <w:p w14:paraId="0F299646"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Times New Roman"/>
                <w:sz w:val="18"/>
                <w:szCs w:val="18"/>
              </w:rPr>
            </w:pPr>
            <w:r w:rsidRPr="008026BD">
              <w:rPr>
                <w:rFonts w:eastAsia="Times New Roman" w:cs="Times New Roman"/>
                <w:sz w:val="18"/>
                <w:szCs w:val="18"/>
              </w:rPr>
              <w:t> </w:t>
            </w:r>
          </w:p>
        </w:tc>
        <w:tc>
          <w:tcPr>
            <w:tcW w:w="1448" w:type="dxa"/>
            <w:tcBorders>
              <w:top w:val="nil"/>
              <w:left w:val="nil"/>
              <w:bottom w:val="nil"/>
              <w:right w:val="nil"/>
            </w:tcBorders>
            <w:shd w:val="clear" w:color="000000" w:fill="FFFFFF"/>
            <w:noWrap/>
            <w:vAlign w:val="bottom"/>
            <w:hideMark/>
          </w:tcPr>
          <w:p w14:paraId="4976A431" w14:textId="5AD4BAFF" w:rsidR="001C5041" w:rsidRPr="008026BD" w:rsidRDefault="009349E6"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F</w:t>
            </w:r>
            <w:r w:rsidR="001C5041" w:rsidRPr="008026BD">
              <w:rPr>
                <w:rFonts w:ascii="Cambria" w:eastAsia="Times New Roman" w:hAnsi="Cambria" w:cs="Times New Roman"/>
                <w:sz w:val="18"/>
                <w:szCs w:val="18"/>
              </w:rPr>
              <w:t>orest coverage</w:t>
            </w:r>
          </w:p>
        </w:tc>
        <w:tc>
          <w:tcPr>
            <w:tcW w:w="960" w:type="dxa"/>
            <w:tcBorders>
              <w:top w:val="nil"/>
              <w:left w:val="nil"/>
              <w:bottom w:val="nil"/>
              <w:right w:val="nil"/>
            </w:tcBorders>
            <w:shd w:val="clear" w:color="000000" w:fill="FFFFFF"/>
            <w:noWrap/>
            <w:vAlign w:val="bottom"/>
            <w:hideMark/>
          </w:tcPr>
          <w:p w14:paraId="6785BE72"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90</w:t>
            </w:r>
          </w:p>
        </w:tc>
        <w:tc>
          <w:tcPr>
            <w:tcW w:w="840" w:type="dxa"/>
            <w:tcBorders>
              <w:top w:val="nil"/>
              <w:left w:val="nil"/>
              <w:bottom w:val="nil"/>
              <w:right w:val="nil"/>
            </w:tcBorders>
            <w:shd w:val="clear" w:color="000000" w:fill="FFFFFF"/>
            <w:noWrap/>
            <w:vAlign w:val="bottom"/>
            <w:hideMark/>
          </w:tcPr>
          <w:p w14:paraId="10E802AB"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1.036</w:t>
            </w:r>
          </w:p>
        </w:tc>
        <w:tc>
          <w:tcPr>
            <w:tcW w:w="760" w:type="dxa"/>
            <w:tcBorders>
              <w:top w:val="nil"/>
              <w:left w:val="nil"/>
              <w:bottom w:val="nil"/>
              <w:right w:val="nil"/>
            </w:tcBorders>
            <w:shd w:val="clear" w:color="000000" w:fill="FFFFFF"/>
            <w:noWrap/>
            <w:vAlign w:val="bottom"/>
            <w:hideMark/>
          </w:tcPr>
          <w:p w14:paraId="2FBB1923"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0.311</w:t>
            </w:r>
          </w:p>
        </w:tc>
        <w:tc>
          <w:tcPr>
            <w:tcW w:w="376" w:type="dxa"/>
            <w:tcBorders>
              <w:top w:val="nil"/>
              <w:left w:val="nil"/>
              <w:bottom w:val="nil"/>
              <w:right w:val="nil"/>
            </w:tcBorders>
            <w:shd w:val="clear" w:color="000000" w:fill="FFFFFF"/>
            <w:noWrap/>
            <w:vAlign w:val="bottom"/>
            <w:hideMark/>
          </w:tcPr>
          <w:p w14:paraId="37C02457"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Times New Roman"/>
                <w:sz w:val="18"/>
                <w:szCs w:val="18"/>
              </w:rPr>
            </w:pPr>
            <w:r w:rsidRPr="008026BD">
              <w:rPr>
                <w:rFonts w:eastAsia="Times New Roman" w:cs="Times New Roman"/>
                <w:sz w:val="18"/>
                <w:szCs w:val="18"/>
              </w:rPr>
              <w:t> </w:t>
            </w:r>
          </w:p>
        </w:tc>
      </w:tr>
      <w:tr w:rsidR="001C5041" w:rsidRPr="008026BD" w14:paraId="05028469" w14:textId="77777777" w:rsidTr="00660394">
        <w:trPr>
          <w:trHeight w:val="210"/>
          <w:jc w:val="center"/>
        </w:trPr>
        <w:tc>
          <w:tcPr>
            <w:tcW w:w="1560" w:type="dxa"/>
            <w:vMerge/>
            <w:tcBorders>
              <w:top w:val="nil"/>
              <w:left w:val="nil"/>
              <w:bottom w:val="nil"/>
              <w:right w:val="nil"/>
            </w:tcBorders>
            <w:vAlign w:val="center"/>
            <w:hideMark/>
          </w:tcPr>
          <w:p w14:paraId="447746D1"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i/>
                <w:iCs/>
                <w:sz w:val="18"/>
                <w:szCs w:val="18"/>
              </w:rPr>
            </w:pPr>
          </w:p>
        </w:tc>
        <w:tc>
          <w:tcPr>
            <w:tcW w:w="253" w:type="dxa"/>
            <w:tcBorders>
              <w:top w:val="nil"/>
              <w:left w:val="nil"/>
              <w:bottom w:val="nil"/>
              <w:right w:val="nil"/>
            </w:tcBorders>
            <w:shd w:val="clear" w:color="000000" w:fill="FFFFFF"/>
            <w:noWrap/>
            <w:vAlign w:val="bottom"/>
            <w:hideMark/>
          </w:tcPr>
          <w:p w14:paraId="2EE4866F"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Times New Roman"/>
                <w:sz w:val="18"/>
                <w:szCs w:val="18"/>
              </w:rPr>
            </w:pPr>
            <w:r w:rsidRPr="008026BD">
              <w:rPr>
                <w:rFonts w:eastAsia="Times New Roman" w:cs="Times New Roman"/>
                <w:sz w:val="18"/>
                <w:szCs w:val="18"/>
              </w:rPr>
              <w:t> </w:t>
            </w:r>
          </w:p>
        </w:tc>
        <w:tc>
          <w:tcPr>
            <w:tcW w:w="1448" w:type="dxa"/>
            <w:tcBorders>
              <w:top w:val="nil"/>
              <w:left w:val="nil"/>
              <w:bottom w:val="nil"/>
              <w:right w:val="nil"/>
            </w:tcBorders>
            <w:shd w:val="clear" w:color="000000" w:fill="FFFFFF"/>
            <w:noWrap/>
            <w:vAlign w:val="bottom"/>
            <w:hideMark/>
          </w:tcPr>
          <w:p w14:paraId="1006273F"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Sand:Soil</w:t>
            </w:r>
          </w:p>
        </w:tc>
        <w:tc>
          <w:tcPr>
            <w:tcW w:w="960" w:type="dxa"/>
            <w:tcBorders>
              <w:top w:val="nil"/>
              <w:left w:val="nil"/>
              <w:bottom w:val="nil"/>
              <w:right w:val="nil"/>
            </w:tcBorders>
            <w:shd w:val="clear" w:color="000000" w:fill="FFFFFF"/>
            <w:noWrap/>
            <w:vAlign w:val="bottom"/>
            <w:hideMark/>
          </w:tcPr>
          <w:p w14:paraId="571C43F9"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90</w:t>
            </w:r>
          </w:p>
        </w:tc>
        <w:tc>
          <w:tcPr>
            <w:tcW w:w="840" w:type="dxa"/>
            <w:tcBorders>
              <w:top w:val="nil"/>
              <w:left w:val="nil"/>
              <w:bottom w:val="nil"/>
              <w:right w:val="nil"/>
            </w:tcBorders>
            <w:shd w:val="clear" w:color="000000" w:fill="FFFFFF"/>
            <w:noWrap/>
            <w:vAlign w:val="bottom"/>
            <w:hideMark/>
          </w:tcPr>
          <w:p w14:paraId="7268881D"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7.808</w:t>
            </w:r>
          </w:p>
        </w:tc>
        <w:tc>
          <w:tcPr>
            <w:tcW w:w="760" w:type="dxa"/>
            <w:tcBorders>
              <w:top w:val="nil"/>
              <w:left w:val="nil"/>
              <w:bottom w:val="nil"/>
              <w:right w:val="nil"/>
            </w:tcBorders>
            <w:shd w:val="clear" w:color="000000" w:fill="FFFFFF"/>
            <w:noWrap/>
            <w:vAlign w:val="bottom"/>
            <w:hideMark/>
          </w:tcPr>
          <w:p w14:paraId="2F3AA684"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0.006</w:t>
            </w:r>
          </w:p>
        </w:tc>
        <w:tc>
          <w:tcPr>
            <w:tcW w:w="376" w:type="dxa"/>
            <w:tcBorders>
              <w:top w:val="nil"/>
              <w:left w:val="nil"/>
              <w:bottom w:val="nil"/>
              <w:right w:val="nil"/>
            </w:tcBorders>
            <w:shd w:val="clear" w:color="000000" w:fill="FFFFFF"/>
            <w:noWrap/>
            <w:vAlign w:val="bottom"/>
            <w:hideMark/>
          </w:tcPr>
          <w:p w14:paraId="7812D1AB"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Times New Roman"/>
                <w:sz w:val="18"/>
                <w:szCs w:val="18"/>
              </w:rPr>
            </w:pPr>
            <w:r w:rsidRPr="008026BD">
              <w:rPr>
                <w:rFonts w:eastAsia="Times New Roman" w:cs="Times New Roman"/>
                <w:sz w:val="18"/>
                <w:szCs w:val="18"/>
              </w:rPr>
              <w:t>**</w:t>
            </w:r>
          </w:p>
        </w:tc>
      </w:tr>
      <w:tr w:rsidR="001C5041" w:rsidRPr="008026BD" w14:paraId="1E30B30E" w14:textId="77777777" w:rsidTr="00660394">
        <w:trPr>
          <w:trHeight w:val="60"/>
          <w:jc w:val="center"/>
        </w:trPr>
        <w:tc>
          <w:tcPr>
            <w:tcW w:w="1560" w:type="dxa"/>
            <w:tcBorders>
              <w:top w:val="nil"/>
              <w:left w:val="nil"/>
              <w:right w:val="nil"/>
            </w:tcBorders>
            <w:shd w:val="clear" w:color="000000" w:fill="FFFFFF"/>
            <w:noWrap/>
            <w:vAlign w:val="bottom"/>
            <w:hideMark/>
          </w:tcPr>
          <w:p w14:paraId="4C9E6A37"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Times New Roman"/>
                <w:sz w:val="18"/>
                <w:szCs w:val="18"/>
              </w:rPr>
            </w:pPr>
            <w:r w:rsidRPr="008026BD">
              <w:rPr>
                <w:rFonts w:eastAsia="Times New Roman" w:cs="Times New Roman"/>
                <w:sz w:val="18"/>
                <w:szCs w:val="18"/>
              </w:rPr>
              <w:t> </w:t>
            </w:r>
          </w:p>
        </w:tc>
        <w:tc>
          <w:tcPr>
            <w:tcW w:w="253" w:type="dxa"/>
            <w:tcBorders>
              <w:top w:val="nil"/>
              <w:left w:val="nil"/>
              <w:right w:val="nil"/>
            </w:tcBorders>
            <w:shd w:val="clear" w:color="000000" w:fill="FFFFFF"/>
            <w:noWrap/>
            <w:vAlign w:val="bottom"/>
            <w:hideMark/>
          </w:tcPr>
          <w:p w14:paraId="745D910D"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Times New Roman"/>
                <w:sz w:val="18"/>
                <w:szCs w:val="18"/>
              </w:rPr>
            </w:pPr>
            <w:r w:rsidRPr="008026BD">
              <w:rPr>
                <w:rFonts w:eastAsia="Times New Roman" w:cs="Times New Roman"/>
                <w:sz w:val="18"/>
                <w:szCs w:val="18"/>
              </w:rPr>
              <w:t> </w:t>
            </w:r>
          </w:p>
        </w:tc>
        <w:tc>
          <w:tcPr>
            <w:tcW w:w="1448" w:type="dxa"/>
            <w:tcBorders>
              <w:top w:val="nil"/>
              <w:left w:val="nil"/>
              <w:right w:val="nil"/>
            </w:tcBorders>
            <w:shd w:val="clear" w:color="000000" w:fill="FFFFFF"/>
            <w:noWrap/>
            <w:vAlign w:val="bottom"/>
            <w:hideMark/>
          </w:tcPr>
          <w:p w14:paraId="44928E18"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Times New Roman"/>
                <w:sz w:val="18"/>
                <w:szCs w:val="18"/>
              </w:rPr>
            </w:pPr>
            <w:r w:rsidRPr="008026BD">
              <w:rPr>
                <w:rFonts w:eastAsia="Times New Roman" w:cs="Times New Roman"/>
                <w:sz w:val="18"/>
                <w:szCs w:val="18"/>
              </w:rPr>
              <w:t> </w:t>
            </w:r>
          </w:p>
        </w:tc>
        <w:tc>
          <w:tcPr>
            <w:tcW w:w="960" w:type="dxa"/>
            <w:tcBorders>
              <w:top w:val="nil"/>
              <w:left w:val="nil"/>
              <w:right w:val="nil"/>
            </w:tcBorders>
            <w:shd w:val="clear" w:color="000000" w:fill="FFFFFF"/>
            <w:noWrap/>
            <w:vAlign w:val="bottom"/>
            <w:hideMark/>
          </w:tcPr>
          <w:p w14:paraId="4561F7A0"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Times New Roman"/>
                <w:sz w:val="18"/>
                <w:szCs w:val="18"/>
              </w:rPr>
            </w:pPr>
            <w:r w:rsidRPr="008026BD">
              <w:rPr>
                <w:rFonts w:eastAsia="Times New Roman" w:cs="Times New Roman"/>
                <w:sz w:val="18"/>
                <w:szCs w:val="18"/>
              </w:rPr>
              <w:t> </w:t>
            </w:r>
          </w:p>
        </w:tc>
        <w:tc>
          <w:tcPr>
            <w:tcW w:w="840" w:type="dxa"/>
            <w:tcBorders>
              <w:top w:val="nil"/>
              <w:left w:val="nil"/>
              <w:right w:val="nil"/>
            </w:tcBorders>
            <w:shd w:val="clear" w:color="000000" w:fill="FFFFFF"/>
            <w:noWrap/>
            <w:vAlign w:val="bottom"/>
            <w:hideMark/>
          </w:tcPr>
          <w:p w14:paraId="5A6584D9"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Times New Roman"/>
                <w:sz w:val="18"/>
                <w:szCs w:val="18"/>
              </w:rPr>
            </w:pPr>
            <w:r w:rsidRPr="008026BD">
              <w:rPr>
                <w:rFonts w:eastAsia="Times New Roman" w:cs="Times New Roman"/>
                <w:sz w:val="18"/>
                <w:szCs w:val="18"/>
              </w:rPr>
              <w:t> </w:t>
            </w:r>
          </w:p>
        </w:tc>
        <w:tc>
          <w:tcPr>
            <w:tcW w:w="760" w:type="dxa"/>
            <w:tcBorders>
              <w:top w:val="nil"/>
              <w:left w:val="nil"/>
              <w:right w:val="nil"/>
            </w:tcBorders>
            <w:shd w:val="clear" w:color="000000" w:fill="FFFFFF"/>
            <w:noWrap/>
            <w:vAlign w:val="bottom"/>
            <w:hideMark/>
          </w:tcPr>
          <w:p w14:paraId="03A65CDE"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Times New Roman"/>
                <w:sz w:val="18"/>
                <w:szCs w:val="18"/>
              </w:rPr>
            </w:pPr>
            <w:r w:rsidRPr="008026BD">
              <w:rPr>
                <w:rFonts w:eastAsia="Times New Roman" w:cs="Times New Roman"/>
                <w:sz w:val="18"/>
                <w:szCs w:val="18"/>
              </w:rPr>
              <w:t> </w:t>
            </w:r>
          </w:p>
        </w:tc>
        <w:tc>
          <w:tcPr>
            <w:tcW w:w="376" w:type="dxa"/>
            <w:tcBorders>
              <w:top w:val="nil"/>
              <w:left w:val="nil"/>
              <w:right w:val="nil"/>
            </w:tcBorders>
            <w:shd w:val="clear" w:color="000000" w:fill="FFFFFF"/>
            <w:noWrap/>
            <w:vAlign w:val="bottom"/>
            <w:hideMark/>
          </w:tcPr>
          <w:p w14:paraId="20455092"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Times New Roman"/>
                <w:sz w:val="18"/>
                <w:szCs w:val="18"/>
              </w:rPr>
            </w:pPr>
            <w:r w:rsidRPr="008026BD">
              <w:rPr>
                <w:rFonts w:eastAsia="Times New Roman" w:cs="Times New Roman"/>
                <w:sz w:val="18"/>
                <w:szCs w:val="18"/>
              </w:rPr>
              <w:t> </w:t>
            </w:r>
          </w:p>
        </w:tc>
      </w:tr>
      <w:tr w:rsidR="001C5041" w:rsidRPr="008026BD" w14:paraId="19BBC039" w14:textId="77777777" w:rsidTr="00660394">
        <w:trPr>
          <w:trHeight w:val="210"/>
          <w:jc w:val="center"/>
        </w:trPr>
        <w:tc>
          <w:tcPr>
            <w:tcW w:w="1560" w:type="dxa"/>
            <w:vMerge w:val="restart"/>
            <w:tcBorders>
              <w:top w:val="nil"/>
              <w:left w:val="nil"/>
              <w:bottom w:val="nil"/>
              <w:right w:val="nil"/>
            </w:tcBorders>
            <w:shd w:val="clear" w:color="000000" w:fill="FFFFFF"/>
            <w:vAlign w:val="center"/>
            <w:hideMark/>
          </w:tcPr>
          <w:p w14:paraId="4D51D489"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i/>
                <w:iCs/>
                <w:sz w:val="18"/>
                <w:szCs w:val="18"/>
              </w:rPr>
            </w:pPr>
            <w:r w:rsidRPr="008026BD">
              <w:rPr>
                <w:rFonts w:ascii="Cambria" w:eastAsia="Times New Roman" w:hAnsi="Cambria" w:cs="Times New Roman"/>
                <w:i/>
                <w:iCs/>
                <w:sz w:val="18"/>
                <w:szCs w:val="18"/>
              </w:rPr>
              <w:t>Shannon (exponential)</w:t>
            </w:r>
          </w:p>
        </w:tc>
        <w:tc>
          <w:tcPr>
            <w:tcW w:w="253" w:type="dxa"/>
            <w:tcBorders>
              <w:top w:val="nil"/>
              <w:left w:val="nil"/>
              <w:bottom w:val="nil"/>
              <w:right w:val="nil"/>
            </w:tcBorders>
            <w:shd w:val="clear" w:color="000000" w:fill="FFFFFF"/>
            <w:noWrap/>
            <w:vAlign w:val="bottom"/>
            <w:hideMark/>
          </w:tcPr>
          <w:p w14:paraId="57536B4D"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Times New Roman"/>
                <w:sz w:val="18"/>
                <w:szCs w:val="18"/>
              </w:rPr>
            </w:pPr>
            <w:r w:rsidRPr="008026BD">
              <w:rPr>
                <w:rFonts w:eastAsia="Times New Roman" w:cs="Times New Roman"/>
                <w:sz w:val="18"/>
                <w:szCs w:val="18"/>
              </w:rPr>
              <w:t> </w:t>
            </w:r>
          </w:p>
        </w:tc>
        <w:tc>
          <w:tcPr>
            <w:tcW w:w="1448" w:type="dxa"/>
            <w:tcBorders>
              <w:top w:val="nil"/>
              <w:left w:val="nil"/>
              <w:bottom w:val="nil"/>
              <w:right w:val="nil"/>
            </w:tcBorders>
            <w:shd w:val="clear" w:color="000000" w:fill="FFFFFF"/>
            <w:noWrap/>
            <w:vAlign w:val="bottom"/>
            <w:hideMark/>
          </w:tcPr>
          <w:p w14:paraId="36485984"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Sand(%)</w:t>
            </w:r>
          </w:p>
        </w:tc>
        <w:tc>
          <w:tcPr>
            <w:tcW w:w="960" w:type="dxa"/>
            <w:tcBorders>
              <w:top w:val="nil"/>
              <w:left w:val="nil"/>
              <w:bottom w:val="nil"/>
              <w:right w:val="nil"/>
            </w:tcBorders>
            <w:shd w:val="clear" w:color="000000" w:fill="FFFFFF"/>
            <w:noWrap/>
            <w:vAlign w:val="bottom"/>
            <w:hideMark/>
          </w:tcPr>
          <w:p w14:paraId="109EF00D"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90</w:t>
            </w:r>
          </w:p>
        </w:tc>
        <w:tc>
          <w:tcPr>
            <w:tcW w:w="840" w:type="dxa"/>
            <w:tcBorders>
              <w:top w:val="nil"/>
              <w:left w:val="nil"/>
              <w:bottom w:val="nil"/>
              <w:right w:val="nil"/>
            </w:tcBorders>
            <w:shd w:val="clear" w:color="000000" w:fill="FFFFFF"/>
            <w:noWrap/>
            <w:vAlign w:val="bottom"/>
            <w:hideMark/>
          </w:tcPr>
          <w:p w14:paraId="3C6BE70F"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1.76697</w:t>
            </w:r>
          </w:p>
        </w:tc>
        <w:tc>
          <w:tcPr>
            <w:tcW w:w="760" w:type="dxa"/>
            <w:tcBorders>
              <w:top w:val="nil"/>
              <w:left w:val="nil"/>
              <w:bottom w:val="nil"/>
              <w:right w:val="nil"/>
            </w:tcBorders>
            <w:shd w:val="clear" w:color="000000" w:fill="FFFFFF"/>
            <w:noWrap/>
            <w:vAlign w:val="bottom"/>
            <w:hideMark/>
          </w:tcPr>
          <w:p w14:paraId="128BF71B"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0.187</w:t>
            </w:r>
          </w:p>
        </w:tc>
        <w:tc>
          <w:tcPr>
            <w:tcW w:w="376" w:type="dxa"/>
            <w:tcBorders>
              <w:top w:val="nil"/>
              <w:left w:val="nil"/>
              <w:bottom w:val="nil"/>
              <w:right w:val="nil"/>
            </w:tcBorders>
            <w:shd w:val="clear" w:color="000000" w:fill="FFFFFF"/>
            <w:noWrap/>
            <w:vAlign w:val="bottom"/>
            <w:hideMark/>
          </w:tcPr>
          <w:p w14:paraId="1E937352"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Times New Roman"/>
                <w:sz w:val="18"/>
                <w:szCs w:val="18"/>
              </w:rPr>
            </w:pPr>
            <w:r w:rsidRPr="008026BD">
              <w:rPr>
                <w:rFonts w:eastAsia="Times New Roman" w:cs="Times New Roman"/>
                <w:sz w:val="18"/>
                <w:szCs w:val="18"/>
              </w:rPr>
              <w:t> </w:t>
            </w:r>
          </w:p>
        </w:tc>
      </w:tr>
      <w:tr w:rsidR="001C5041" w:rsidRPr="008026BD" w14:paraId="5EC8FA0D" w14:textId="77777777" w:rsidTr="00660394">
        <w:trPr>
          <w:trHeight w:val="210"/>
          <w:jc w:val="center"/>
        </w:trPr>
        <w:tc>
          <w:tcPr>
            <w:tcW w:w="1560" w:type="dxa"/>
            <w:vMerge/>
            <w:tcBorders>
              <w:top w:val="nil"/>
              <w:left w:val="nil"/>
              <w:bottom w:val="nil"/>
              <w:right w:val="nil"/>
            </w:tcBorders>
            <w:vAlign w:val="center"/>
            <w:hideMark/>
          </w:tcPr>
          <w:p w14:paraId="52C9FD5C"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i/>
                <w:iCs/>
                <w:sz w:val="18"/>
                <w:szCs w:val="18"/>
              </w:rPr>
            </w:pPr>
          </w:p>
        </w:tc>
        <w:tc>
          <w:tcPr>
            <w:tcW w:w="253" w:type="dxa"/>
            <w:tcBorders>
              <w:top w:val="nil"/>
              <w:left w:val="nil"/>
              <w:bottom w:val="nil"/>
              <w:right w:val="nil"/>
            </w:tcBorders>
            <w:shd w:val="clear" w:color="000000" w:fill="FFFFFF"/>
            <w:noWrap/>
            <w:vAlign w:val="bottom"/>
            <w:hideMark/>
          </w:tcPr>
          <w:p w14:paraId="2A09842C"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Times New Roman"/>
                <w:sz w:val="18"/>
                <w:szCs w:val="18"/>
              </w:rPr>
            </w:pPr>
            <w:r w:rsidRPr="008026BD">
              <w:rPr>
                <w:rFonts w:eastAsia="Times New Roman" w:cs="Times New Roman"/>
                <w:sz w:val="18"/>
                <w:szCs w:val="18"/>
              </w:rPr>
              <w:t> </w:t>
            </w:r>
          </w:p>
        </w:tc>
        <w:tc>
          <w:tcPr>
            <w:tcW w:w="1448" w:type="dxa"/>
            <w:tcBorders>
              <w:top w:val="nil"/>
              <w:left w:val="nil"/>
              <w:bottom w:val="nil"/>
              <w:right w:val="nil"/>
            </w:tcBorders>
            <w:shd w:val="clear" w:color="000000" w:fill="FFFFFF"/>
            <w:noWrap/>
            <w:vAlign w:val="bottom"/>
            <w:hideMark/>
          </w:tcPr>
          <w:p w14:paraId="4A2045FB"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Soil group</w:t>
            </w:r>
          </w:p>
        </w:tc>
        <w:tc>
          <w:tcPr>
            <w:tcW w:w="960" w:type="dxa"/>
            <w:tcBorders>
              <w:top w:val="nil"/>
              <w:left w:val="nil"/>
              <w:bottom w:val="nil"/>
              <w:right w:val="nil"/>
            </w:tcBorders>
            <w:shd w:val="clear" w:color="000000" w:fill="FFFFFF"/>
            <w:noWrap/>
            <w:vAlign w:val="bottom"/>
            <w:hideMark/>
          </w:tcPr>
          <w:p w14:paraId="53297849"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90</w:t>
            </w:r>
          </w:p>
        </w:tc>
        <w:tc>
          <w:tcPr>
            <w:tcW w:w="840" w:type="dxa"/>
            <w:tcBorders>
              <w:top w:val="nil"/>
              <w:left w:val="nil"/>
              <w:bottom w:val="nil"/>
              <w:right w:val="nil"/>
            </w:tcBorders>
            <w:shd w:val="clear" w:color="000000" w:fill="FFFFFF"/>
            <w:noWrap/>
            <w:vAlign w:val="bottom"/>
            <w:hideMark/>
          </w:tcPr>
          <w:p w14:paraId="78F87B02"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0.9645</w:t>
            </w:r>
          </w:p>
        </w:tc>
        <w:tc>
          <w:tcPr>
            <w:tcW w:w="760" w:type="dxa"/>
            <w:tcBorders>
              <w:top w:val="nil"/>
              <w:left w:val="nil"/>
              <w:bottom w:val="nil"/>
              <w:right w:val="nil"/>
            </w:tcBorders>
            <w:shd w:val="clear" w:color="000000" w:fill="FFFFFF"/>
            <w:noWrap/>
            <w:vAlign w:val="bottom"/>
            <w:hideMark/>
          </w:tcPr>
          <w:p w14:paraId="6F93EA8B"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0.329</w:t>
            </w:r>
          </w:p>
        </w:tc>
        <w:tc>
          <w:tcPr>
            <w:tcW w:w="376" w:type="dxa"/>
            <w:tcBorders>
              <w:top w:val="nil"/>
              <w:left w:val="nil"/>
              <w:bottom w:val="nil"/>
              <w:right w:val="nil"/>
            </w:tcBorders>
            <w:shd w:val="clear" w:color="000000" w:fill="FFFFFF"/>
            <w:noWrap/>
            <w:vAlign w:val="bottom"/>
            <w:hideMark/>
          </w:tcPr>
          <w:p w14:paraId="1899C937"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Times New Roman"/>
                <w:sz w:val="18"/>
                <w:szCs w:val="18"/>
              </w:rPr>
            </w:pPr>
            <w:r w:rsidRPr="008026BD">
              <w:rPr>
                <w:rFonts w:eastAsia="Times New Roman" w:cs="Times New Roman"/>
                <w:sz w:val="18"/>
                <w:szCs w:val="18"/>
              </w:rPr>
              <w:t> </w:t>
            </w:r>
          </w:p>
        </w:tc>
      </w:tr>
      <w:tr w:rsidR="001C5041" w:rsidRPr="008026BD" w14:paraId="08CAA240" w14:textId="77777777" w:rsidTr="00660394">
        <w:trPr>
          <w:trHeight w:val="210"/>
          <w:jc w:val="center"/>
        </w:trPr>
        <w:tc>
          <w:tcPr>
            <w:tcW w:w="1560" w:type="dxa"/>
            <w:vMerge/>
            <w:tcBorders>
              <w:top w:val="nil"/>
              <w:left w:val="nil"/>
              <w:bottom w:val="nil"/>
              <w:right w:val="nil"/>
            </w:tcBorders>
            <w:vAlign w:val="center"/>
            <w:hideMark/>
          </w:tcPr>
          <w:p w14:paraId="5F2DB1F7"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i/>
                <w:iCs/>
                <w:sz w:val="18"/>
                <w:szCs w:val="18"/>
              </w:rPr>
            </w:pPr>
          </w:p>
        </w:tc>
        <w:tc>
          <w:tcPr>
            <w:tcW w:w="253" w:type="dxa"/>
            <w:tcBorders>
              <w:top w:val="nil"/>
              <w:left w:val="nil"/>
              <w:bottom w:val="nil"/>
              <w:right w:val="nil"/>
            </w:tcBorders>
            <w:shd w:val="clear" w:color="000000" w:fill="FFFFFF"/>
            <w:noWrap/>
            <w:vAlign w:val="bottom"/>
            <w:hideMark/>
          </w:tcPr>
          <w:p w14:paraId="77114A7C"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Times New Roman"/>
                <w:sz w:val="18"/>
                <w:szCs w:val="18"/>
              </w:rPr>
            </w:pPr>
            <w:r w:rsidRPr="008026BD">
              <w:rPr>
                <w:rFonts w:eastAsia="Times New Roman" w:cs="Times New Roman"/>
                <w:sz w:val="18"/>
                <w:szCs w:val="18"/>
              </w:rPr>
              <w:t> </w:t>
            </w:r>
          </w:p>
        </w:tc>
        <w:tc>
          <w:tcPr>
            <w:tcW w:w="1448" w:type="dxa"/>
            <w:tcBorders>
              <w:top w:val="nil"/>
              <w:left w:val="nil"/>
              <w:bottom w:val="nil"/>
              <w:right w:val="nil"/>
            </w:tcBorders>
            <w:shd w:val="clear" w:color="000000" w:fill="FFFFFF"/>
            <w:noWrap/>
            <w:vAlign w:val="bottom"/>
            <w:hideMark/>
          </w:tcPr>
          <w:p w14:paraId="6D637D9E" w14:textId="22B2C0DE" w:rsidR="001C5041" w:rsidRPr="008026BD" w:rsidRDefault="009349E6"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F</w:t>
            </w:r>
            <w:r w:rsidR="001C5041" w:rsidRPr="008026BD">
              <w:rPr>
                <w:rFonts w:ascii="Cambria" w:eastAsia="Times New Roman" w:hAnsi="Cambria" w:cs="Times New Roman"/>
                <w:sz w:val="18"/>
                <w:szCs w:val="18"/>
              </w:rPr>
              <w:t>orest coverage</w:t>
            </w:r>
          </w:p>
        </w:tc>
        <w:tc>
          <w:tcPr>
            <w:tcW w:w="960" w:type="dxa"/>
            <w:tcBorders>
              <w:top w:val="nil"/>
              <w:left w:val="nil"/>
              <w:bottom w:val="nil"/>
              <w:right w:val="nil"/>
            </w:tcBorders>
            <w:shd w:val="clear" w:color="000000" w:fill="FFFFFF"/>
            <w:noWrap/>
            <w:vAlign w:val="bottom"/>
            <w:hideMark/>
          </w:tcPr>
          <w:p w14:paraId="1CD6F8EE"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90</w:t>
            </w:r>
          </w:p>
        </w:tc>
        <w:tc>
          <w:tcPr>
            <w:tcW w:w="840" w:type="dxa"/>
            <w:tcBorders>
              <w:top w:val="nil"/>
              <w:left w:val="nil"/>
              <w:bottom w:val="nil"/>
              <w:right w:val="nil"/>
            </w:tcBorders>
            <w:shd w:val="clear" w:color="000000" w:fill="FFFFFF"/>
            <w:noWrap/>
            <w:vAlign w:val="bottom"/>
            <w:hideMark/>
          </w:tcPr>
          <w:p w14:paraId="7E1896E7"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0.64872</w:t>
            </w:r>
          </w:p>
        </w:tc>
        <w:tc>
          <w:tcPr>
            <w:tcW w:w="760" w:type="dxa"/>
            <w:tcBorders>
              <w:top w:val="nil"/>
              <w:left w:val="nil"/>
              <w:bottom w:val="nil"/>
              <w:right w:val="nil"/>
            </w:tcBorders>
            <w:shd w:val="clear" w:color="000000" w:fill="FFFFFF"/>
            <w:noWrap/>
            <w:vAlign w:val="bottom"/>
            <w:hideMark/>
          </w:tcPr>
          <w:p w14:paraId="106210F6"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0.423</w:t>
            </w:r>
          </w:p>
        </w:tc>
        <w:tc>
          <w:tcPr>
            <w:tcW w:w="376" w:type="dxa"/>
            <w:tcBorders>
              <w:top w:val="nil"/>
              <w:left w:val="nil"/>
              <w:bottom w:val="nil"/>
              <w:right w:val="nil"/>
            </w:tcBorders>
            <w:shd w:val="clear" w:color="000000" w:fill="FFFFFF"/>
            <w:noWrap/>
            <w:vAlign w:val="bottom"/>
            <w:hideMark/>
          </w:tcPr>
          <w:p w14:paraId="1D31565B"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Times New Roman"/>
                <w:sz w:val="18"/>
                <w:szCs w:val="18"/>
              </w:rPr>
            </w:pPr>
            <w:r w:rsidRPr="008026BD">
              <w:rPr>
                <w:rFonts w:eastAsia="Times New Roman" w:cs="Times New Roman"/>
                <w:sz w:val="18"/>
                <w:szCs w:val="18"/>
              </w:rPr>
              <w:t> </w:t>
            </w:r>
          </w:p>
        </w:tc>
      </w:tr>
      <w:tr w:rsidR="001C5041" w:rsidRPr="008026BD" w14:paraId="0E67AC12" w14:textId="77777777" w:rsidTr="00660394">
        <w:trPr>
          <w:trHeight w:val="210"/>
          <w:jc w:val="center"/>
        </w:trPr>
        <w:tc>
          <w:tcPr>
            <w:tcW w:w="1560" w:type="dxa"/>
            <w:vMerge/>
            <w:tcBorders>
              <w:top w:val="nil"/>
              <w:left w:val="nil"/>
              <w:bottom w:val="single" w:sz="4" w:space="0" w:color="auto"/>
              <w:right w:val="nil"/>
            </w:tcBorders>
            <w:vAlign w:val="center"/>
            <w:hideMark/>
          </w:tcPr>
          <w:p w14:paraId="60BF25C6"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i/>
                <w:iCs/>
                <w:sz w:val="18"/>
                <w:szCs w:val="18"/>
              </w:rPr>
            </w:pPr>
          </w:p>
        </w:tc>
        <w:tc>
          <w:tcPr>
            <w:tcW w:w="253" w:type="dxa"/>
            <w:tcBorders>
              <w:top w:val="nil"/>
              <w:left w:val="nil"/>
              <w:bottom w:val="single" w:sz="4" w:space="0" w:color="auto"/>
              <w:right w:val="nil"/>
            </w:tcBorders>
            <w:shd w:val="clear" w:color="000000" w:fill="FFFFFF"/>
            <w:noWrap/>
            <w:vAlign w:val="bottom"/>
            <w:hideMark/>
          </w:tcPr>
          <w:p w14:paraId="2019036F"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Times New Roman"/>
                <w:sz w:val="18"/>
                <w:szCs w:val="18"/>
              </w:rPr>
            </w:pPr>
            <w:r w:rsidRPr="008026BD">
              <w:rPr>
                <w:rFonts w:eastAsia="Times New Roman" w:cs="Times New Roman"/>
                <w:sz w:val="18"/>
                <w:szCs w:val="18"/>
              </w:rPr>
              <w:t> </w:t>
            </w:r>
          </w:p>
        </w:tc>
        <w:tc>
          <w:tcPr>
            <w:tcW w:w="1448" w:type="dxa"/>
            <w:tcBorders>
              <w:top w:val="nil"/>
              <w:left w:val="nil"/>
              <w:bottom w:val="single" w:sz="4" w:space="0" w:color="auto"/>
              <w:right w:val="nil"/>
            </w:tcBorders>
            <w:shd w:val="clear" w:color="000000" w:fill="FFFFFF"/>
            <w:noWrap/>
            <w:vAlign w:val="bottom"/>
            <w:hideMark/>
          </w:tcPr>
          <w:p w14:paraId="7AA57F61"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Sand:Soil</w:t>
            </w:r>
          </w:p>
        </w:tc>
        <w:tc>
          <w:tcPr>
            <w:tcW w:w="960" w:type="dxa"/>
            <w:tcBorders>
              <w:top w:val="nil"/>
              <w:left w:val="nil"/>
              <w:bottom w:val="single" w:sz="4" w:space="0" w:color="auto"/>
              <w:right w:val="nil"/>
            </w:tcBorders>
            <w:shd w:val="clear" w:color="000000" w:fill="FFFFFF"/>
            <w:noWrap/>
            <w:vAlign w:val="bottom"/>
            <w:hideMark/>
          </w:tcPr>
          <w:p w14:paraId="3A14A613"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90</w:t>
            </w:r>
          </w:p>
        </w:tc>
        <w:tc>
          <w:tcPr>
            <w:tcW w:w="840" w:type="dxa"/>
            <w:tcBorders>
              <w:top w:val="nil"/>
              <w:left w:val="nil"/>
              <w:bottom w:val="single" w:sz="4" w:space="0" w:color="auto"/>
              <w:right w:val="nil"/>
            </w:tcBorders>
            <w:shd w:val="clear" w:color="000000" w:fill="FFFFFF"/>
            <w:noWrap/>
            <w:vAlign w:val="bottom"/>
            <w:hideMark/>
          </w:tcPr>
          <w:p w14:paraId="4533E7DD"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4.43311</w:t>
            </w:r>
          </w:p>
        </w:tc>
        <w:tc>
          <w:tcPr>
            <w:tcW w:w="760" w:type="dxa"/>
            <w:tcBorders>
              <w:top w:val="nil"/>
              <w:left w:val="nil"/>
              <w:bottom w:val="single" w:sz="4" w:space="0" w:color="auto"/>
              <w:right w:val="nil"/>
            </w:tcBorders>
            <w:shd w:val="clear" w:color="000000" w:fill="FFFFFF"/>
            <w:noWrap/>
            <w:vAlign w:val="bottom"/>
            <w:hideMark/>
          </w:tcPr>
          <w:p w14:paraId="7352F5A1"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8"/>
                <w:szCs w:val="18"/>
              </w:rPr>
            </w:pPr>
            <w:r w:rsidRPr="008026BD">
              <w:rPr>
                <w:rFonts w:ascii="Cambria" w:eastAsia="Times New Roman" w:hAnsi="Cambria" w:cs="Times New Roman"/>
                <w:sz w:val="18"/>
                <w:szCs w:val="18"/>
              </w:rPr>
              <w:t>0.038</w:t>
            </w:r>
          </w:p>
        </w:tc>
        <w:tc>
          <w:tcPr>
            <w:tcW w:w="376" w:type="dxa"/>
            <w:tcBorders>
              <w:top w:val="nil"/>
              <w:left w:val="nil"/>
              <w:bottom w:val="single" w:sz="4" w:space="0" w:color="auto"/>
              <w:right w:val="nil"/>
            </w:tcBorders>
            <w:shd w:val="clear" w:color="000000" w:fill="FFFFFF"/>
            <w:noWrap/>
            <w:vAlign w:val="bottom"/>
            <w:hideMark/>
          </w:tcPr>
          <w:p w14:paraId="50A6145A" w14:textId="77777777" w:rsidR="001C5041" w:rsidRPr="008026BD"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eastAsia="Times New Roman" w:cs="Times New Roman"/>
                <w:sz w:val="18"/>
                <w:szCs w:val="18"/>
              </w:rPr>
            </w:pPr>
            <w:r w:rsidRPr="008026BD">
              <w:rPr>
                <w:rFonts w:eastAsia="Times New Roman" w:cs="Times New Roman"/>
                <w:sz w:val="18"/>
                <w:szCs w:val="18"/>
              </w:rPr>
              <w:t>*</w:t>
            </w:r>
          </w:p>
        </w:tc>
      </w:tr>
    </w:tbl>
    <w:p w14:paraId="4E27DAB5" w14:textId="77777777" w:rsidR="00257FE7" w:rsidRDefault="00EB0330" w:rsidP="008026BD">
      <w:pPr>
        <w:keepNext/>
        <w:spacing w:before="240" w:after="0" w:line="360" w:lineRule="auto"/>
        <w:jc w:val="center"/>
        <w:rPr>
          <w:rFonts w:ascii="Arial" w:eastAsia="Arial" w:hAnsi="Arial" w:cs="Arial"/>
          <w:i/>
          <w:smallCaps/>
          <w:sz w:val="18"/>
          <w:szCs w:val="18"/>
        </w:rPr>
      </w:pPr>
      <w:r>
        <w:rPr>
          <w:rFonts w:ascii="Arial" w:eastAsia="Arial" w:hAnsi="Arial" w:cs="Arial"/>
          <w:i/>
          <w:smallCaps/>
          <w:noProof/>
          <w:sz w:val="18"/>
          <w:szCs w:val="18"/>
          <w:lang w:val="en-AU" w:eastAsia="en-AU"/>
        </w:rPr>
        <w:drawing>
          <wp:inline distT="0" distB="0" distL="0" distR="0" wp14:anchorId="3900561B" wp14:editId="768CE4DF">
            <wp:extent cx="5256000" cy="2628000"/>
            <wp:effectExtent l="0" t="0" r="1905" b="127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VS_Toledo_et_al_v3_fig2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56000" cy="2628000"/>
                    </a:xfrm>
                    <a:prstGeom prst="rect">
                      <a:avLst/>
                    </a:prstGeom>
                  </pic:spPr>
                </pic:pic>
              </a:graphicData>
            </a:graphic>
          </wp:inline>
        </w:drawing>
      </w:r>
    </w:p>
    <w:p w14:paraId="3BFE57C3" w14:textId="2076CBEA" w:rsidR="008026BD" w:rsidRDefault="00D474E6" w:rsidP="008026BD">
      <w:pPr>
        <w:keepNext/>
        <w:spacing w:after="0" w:line="360" w:lineRule="auto"/>
        <w:jc w:val="center"/>
        <w:rPr>
          <w:rFonts w:ascii="Arial" w:eastAsia="Arial" w:hAnsi="Arial" w:cs="Arial"/>
          <w:i/>
          <w:sz w:val="18"/>
          <w:szCs w:val="18"/>
        </w:rPr>
      </w:pPr>
      <w:r>
        <w:rPr>
          <w:rFonts w:ascii="Arial" w:eastAsia="Arial" w:hAnsi="Arial" w:cs="Arial"/>
          <w:i/>
          <w:smallCaps/>
          <w:sz w:val="18"/>
          <w:szCs w:val="18"/>
        </w:rPr>
        <w:t xml:space="preserve">Figure 2 - </w:t>
      </w:r>
      <w:r w:rsidRPr="00EC03BC">
        <w:rPr>
          <w:rFonts w:ascii="Arial" w:eastAsia="Arial" w:hAnsi="Arial" w:cs="Arial"/>
          <w:i/>
          <w:sz w:val="18"/>
          <w:szCs w:val="18"/>
        </w:rPr>
        <w:t xml:space="preserve">Observed biomass (sqrt-transformed) as a function of soil sand percentage for the </w:t>
      </w:r>
      <w:r w:rsidR="00D1797A" w:rsidRPr="00EC03BC">
        <w:rPr>
          <w:rFonts w:ascii="Arial" w:eastAsia="Arial" w:hAnsi="Arial" w:cs="Arial"/>
          <w:i/>
          <w:sz w:val="18"/>
          <w:szCs w:val="18"/>
        </w:rPr>
        <w:t>two soil</w:t>
      </w:r>
      <w:r w:rsidRPr="00EC03BC">
        <w:rPr>
          <w:rFonts w:ascii="Arial" w:eastAsia="Arial" w:hAnsi="Arial" w:cs="Arial"/>
          <w:i/>
          <w:sz w:val="18"/>
          <w:szCs w:val="18"/>
        </w:rPr>
        <w:t xml:space="preserve"> chemical-fertility groups (points). Lines show model predictions (Table 1) +/- 95% confidence intervals for 3% and 23% forest cover (interquartile extremes in the surveyed data).</w:t>
      </w:r>
    </w:p>
    <w:p w14:paraId="0879A368" w14:textId="77777777" w:rsidR="008026BD" w:rsidRDefault="008026BD">
      <w:pPr>
        <w:rPr>
          <w:rFonts w:ascii="Arial" w:eastAsia="Arial" w:hAnsi="Arial" w:cs="Arial"/>
          <w:i/>
          <w:sz w:val="18"/>
          <w:szCs w:val="18"/>
        </w:rPr>
      </w:pPr>
      <w:r>
        <w:rPr>
          <w:rFonts w:ascii="Arial" w:eastAsia="Arial" w:hAnsi="Arial" w:cs="Arial"/>
          <w:i/>
          <w:sz w:val="18"/>
          <w:szCs w:val="18"/>
        </w:rPr>
        <w:br w:type="page"/>
      </w:r>
    </w:p>
    <w:p w14:paraId="2779B819" w14:textId="115D0C62" w:rsidR="00D8396D" w:rsidRDefault="00D474E6">
      <w:pPr>
        <w:pStyle w:val="Heading3"/>
        <w:spacing w:line="480" w:lineRule="auto"/>
        <w:rPr>
          <w:rFonts w:ascii="Arial" w:eastAsia="Arial" w:hAnsi="Arial" w:cs="Arial"/>
        </w:rPr>
      </w:pPr>
      <w:bookmarkStart w:id="10" w:name="4d34og8" w:colFirst="0" w:colLast="0"/>
      <w:bookmarkEnd w:id="10"/>
      <w:r>
        <w:rPr>
          <w:rFonts w:ascii="Arial" w:eastAsia="Arial" w:hAnsi="Arial" w:cs="Arial"/>
        </w:rPr>
        <w:lastRenderedPageBreak/>
        <w:t>Community Models</w:t>
      </w:r>
    </w:p>
    <w:p w14:paraId="03984BE9" w14:textId="77777777" w:rsidR="00D8396D" w:rsidRDefault="00D474E6">
      <w:pPr>
        <w:spacing w:after="240" w:line="480" w:lineRule="auto"/>
        <w:ind w:firstLine="420"/>
        <w:rPr>
          <w:rFonts w:ascii="Arial" w:eastAsia="Arial" w:hAnsi="Arial" w:cs="Arial"/>
        </w:rPr>
      </w:pPr>
      <w:r>
        <w:rPr>
          <w:rFonts w:ascii="Arial" w:eastAsia="Arial" w:hAnsi="Arial" w:cs="Arial"/>
        </w:rPr>
        <w:t>Tree community-composition responded to environmental context. Sand percentage affected all trait groupings. AGB from softwoods, taller-species and forest-specialists negatively correlates with sand percentages. Moreover, the resulting model predicts the absence of forest-specialists once the sand fraction is over 55%, despite the substantial contribution from forest-specialists to the total AGB predicted for fertile non-sandy soils (&gt;30%).</w:t>
      </w:r>
    </w:p>
    <w:p w14:paraId="04A4DF4C" w14:textId="14E06CDA" w:rsidR="00D8396D" w:rsidRDefault="00D474E6">
      <w:pPr>
        <w:spacing w:after="240" w:line="480" w:lineRule="auto"/>
        <w:ind w:firstLine="420"/>
        <w:rPr>
          <w:rFonts w:ascii="Arial" w:eastAsia="Arial" w:hAnsi="Arial" w:cs="Arial"/>
        </w:rPr>
      </w:pPr>
      <w:r>
        <w:rPr>
          <w:rFonts w:ascii="Arial" w:eastAsia="Arial" w:hAnsi="Arial" w:cs="Arial"/>
        </w:rPr>
        <w:t>Forest cover in the 200</w:t>
      </w:r>
      <w:r w:rsidR="009349E6">
        <w:rPr>
          <w:rFonts w:ascii="Arial" w:eastAsia="Arial" w:hAnsi="Arial" w:cs="Arial"/>
        </w:rPr>
        <w:t xml:space="preserve"> </w:t>
      </w:r>
      <w:r>
        <w:rPr>
          <w:rFonts w:ascii="Arial" w:eastAsia="Arial" w:hAnsi="Arial" w:cs="Arial"/>
        </w:rPr>
        <w:t xml:space="preserve">m buffer affected AGB predictions for all trait groupings except wood density. AGB from shorter-species and generalist-species positively correlates with forest cover. In contrast, chemical fertility, alone, was not a good predictor of AGB for any of these groups. However, the interaction between fertility and sand percentage was highly significant for WD groups. The negative effect of sand percentages on softwood AGB was highly significant on fertile soils, and </w:t>
      </w:r>
      <w:r w:rsidR="00B30C8B">
        <w:rPr>
          <w:rFonts w:ascii="Arial" w:eastAsia="Arial" w:hAnsi="Arial" w:cs="Arial"/>
        </w:rPr>
        <w:t xml:space="preserve">non-significant </w:t>
      </w:r>
      <w:r>
        <w:rPr>
          <w:rFonts w:ascii="Arial" w:eastAsia="Arial" w:hAnsi="Arial" w:cs="Arial"/>
        </w:rPr>
        <w:t>on acidic/poor soils (Table 2 and Figure 3).</w:t>
      </w:r>
    </w:p>
    <w:p w14:paraId="44171C2F" w14:textId="2AEC646C" w:rsidR="00D8396D" w:rsidRDefault="00D474E6">
      <w:pPr>
        <w:spacing w:line="480" w:lineRule="auto"/>
        <w:ind w:firstLine="426"/>
        <w:rPr>
          <w:rFonts w:ascii="Arial" w:eastAsia="Arial" w:hAnsi="Arial" w:cs="Arial"/>
        </w:rPr>
      </w:pPr>
      <w:r>
        <w:rPr>
          <w:rFonts w:ascii="Arial" w:eastAsia="Arial" w:hAnsi="Arial" w:cs="Arial"/>
        </w:rPr>
        <w:t>No clear correlation was found between species groupings. AGB share between WD groups did not correlate to habitat selectivity or H</w:t>
      </w:r>
      <w:r>
        <w:rPr>
          <w:rFonts w:ascii="Arial" w:eastAsia="Arial" w:hAnsi="Arial" w:cs="Arial"/>
          <w:vertAlign w:val="subscript"/>
        </w:rPr>
        <w:t>max</w:t>
      </w:r>
      <w:r>
        <w:rPr>
          <w:rFonts w:ascii="Arial" w:eastAsia="Arial" w:hAnsi="Arial" w:cs="Arial"/>
        </w:rPr>
        <w:t xml:space="preserve"> ratios, despite the preponderance of softwood-species among forest-specialists (18:26 spp.) and of hardwoods among </w:t>
      </w:r>
      <w:r w:rsidR="00B30C8B">
        <w:rPr>
          <w:rFonts w:ascii="Arial" w:eastAsia="Arial" w:hAnsi="Arial" w:cs="Arial"/>
        </w:rPr>
        <w:t>shorter species</w:t>
      </w:r>
      <w:r>
        <w:rPr>
          <w:rFonts w:ascii="Arial" w:eastAsia="Arial" w:hAnsi="Arial" w:cs="Arial"/>
        </w:rPr>
        <w:t xml:space="preserve"> (28:51 spp.). Still, a moderate correlation was found between AGB shares of </w:t>
      </w:r>
      <w:r w:rsidR="00B30C8B">
        <w:rPr>
          <w:rFonts w:ascii="Arial" w:eastAsia="Arial" w:hAnsi="Arial" w:cs="Arial"/>
        </w:rPr>
        <w:t>forest specialists</w:t>
      </w:r>
      <w:r>
        <w:rPr>
          <w:rFonts w:ascii="Arial" w:eastAsia="Arial" w:hAnsi="Arial" w:cs="Arial"/>
        </w:rPr>
        <w:t xml:space="preserve"> and taller</w:t>
      </w:r>
      <w:r w:rsidR="004E35C9">
        <w:rPr>
          <w:rFonts w:ascii="Arial" w:eastAsia="Arial" w:hAnsi="Arial" w:cs="Arial"/>
        </w:rPr>
        <w:t xml:space="preserve"> </w:t>
      </w:r>
      <w:r>
        <w:rPr>
          <w:rFonts w:ascii="Arial" w:eastAsia="Arial" w:hAnsi="Arial" w:cs="Arial"/>
        </w:rPr>
        <w:t>species, and hence between generalists and shorter</w:t>
      </w:r>
      <w:r w:rsidR="004E35C9">
        <w:rPr>
          <w:rFonts w:ascii="Arial" w:eastAsia="Arial" w:hAnsi="Arial" w:cs="Arial"/>
        </w:rPr>
        <w:t xml:space="preserve"> </w:t>
      </w:r>
      <w:r>
        <w:rPr>
          <w:rFonts w:ascii="Arial" w:eastAsia="Arial" w:hAnsi="Arial" w:cs="Arial"/>
        </w:rPr>
        <w:t xml:space="preserve">species ratios (Spearman ρ = 0.525, p=0.002), which is consistent with preponderance of shorter-species among habitat-generalists (47:78 spp.), and of taller-species among forest-specialists (18:26 spp.). Surprisingly none of these groupings </w:t>
      </w:r>
      <w:r w:rsidR="00B30C8B">
        <w:rPr>
          <w:rFonts w:ascii="Arial" w:eastAsia="Arial" w:hAnsi="Arial" w:cs="Arial"/>
        </w:rPr>
        <w:t>was</w:t>
      </w:r>
      <w:r>
        <w:rPr>
          <w:rFonts w:ascii="Arial" w:eastAsia="Arial" w:hAnsi="Arial" w:cs="Arial"/>
        </w:rPr>
        <w:t xml:space="preserve"> a good predictor of total AGB. The biomass share between WD and H</w:t>
      </w:r>
      <w:r>
        <w:rPr>
          <w:rFonts w:ascii="Arial" w:eastAsia="Arial" w:hAnsi="Arial" w:cs="Arial"/>
          <w:vertAlign w:val="subscript"/>
        </w:rPr>
        <w:t>max</w:t>
      </w:r>
      <w:r>
        <w:rPr>
          <w:rFonts w:ascii="Arial" w:eastAsia="Arial" w:hAnsi="Arial" w:cs="Arial"/>
        </w:rPr>
        <w:t xml:space="preserve"> groups weakly correlated to total AGB (ρ = 0.375, p=0.035 and Spearman ρ = 0.356, p=0.046, respectively) but not to habitat</w:t>
      </w:r>
      <w:r w:rsidR="00B30C8B">
        <w:rPr>
          <w:rFonts w:ascii="Arial" w:eastAsia="Arial" w:hAnsi="Arial" w:cs="Arial"/>
        </w:rPr>
        <w:t>-</w:t>
      </w:r>
      <w:r>
        <w:rPr>
          <w:rFonts w:ascii="Arial" w:eastAsia="Arial" w:hAnsi="Arial" w:cs="Arial"/>
        </w:rPr>
        <w:t>selectivity groups.</w:t>
      </w:r>
    </w:p>
    <w:p w14:paraId="45A10C0B" w14:textId="6F86B2EA" w:rsidR="00D8396D" w:rsidRDefault="007711E8">
      <w:pPr>
        <w:spacing w:line="480" w:lineRule="auto"/>
        <w:ind w:firstLine="426"/>
        <w:rPr>
          <w:rFonts w:ascii="Arial" w:eastAsia="Arial" w:hAnsi="Arial" w:cs="Arial"/>
        </w:rPr>
      </w:pPr>
      <w:r>
        <w:rPr>
          <w:rFonts w:ascii="Arial" w:eastAsia="Arial" w:hAnsi="Arial" w:cs="Arial"/>
          <w:i/>
          <w:smallCaps/>
          <w:sz w:val="18"/>
          <w:szCs w:val="18"/>
        </w:rPr>
        <w:lastRenderedPageBreak/>
        <w:t xml:space="preserve">TABLE 2 - Anova results for linear model fits for the multivariate abundance data, with species groups as responses. “global test” shows the overall effects of the predictors on the multivariate abundance data, whereas the “univariate test” shows effects of the predictors on the individual species groups. </w:t>
      </w:r>
    </w:p>
    <w:tbl>
      <w:tblPr>
        <w:tblW w:w="8180" w:type="dxa"/>
        <w:jc w:val="center"/>
        <w:tblLook w:val="04A0" w:firstRow="1" w:lastRow="0" w:firstColumn="1" w:lastColumn="0" w:noHBand="0" w:noVBand="1"/>
      </w:tblPr>
      <w:tblGrid>
        <w:gridCol w:w="1520"/>
        <w:gridCol w:w="822"/>
        <w:gridCol w:w="781"/>
        <w:gridCol w:w="857"/>
        <w:gridCol w:w="353"/>
        <w:gridCol w:w="265"/>
        <w:gridCol w:w="760"/>
        <w:gridCol w:w="708"/>
        <w:gridCol w:w="353"/>
        <w:gridCol w:w="760"/>
        <w:gridCol w:w="708"/>
        <w:gridCol w:w="293"/>
      </w:tblGrid>
      <w:tr w:rsidR="001C5041" w:rsidRPr="001C5041" w14:paraId="4C1F47C3" w14:textId="77777777" w:rsidTr="00B2646B">
        <w:trPr>
          <w:trHeight w:val="300"/>
          <w:jc w:val="center"/>
        </w:trPr>
        <w:tc>
          <w:tcPr>
            <w:tcW w:w="1520" w:type="dxa"/>
            <w:tcBorders>
              <w:top w:val="single" w:sz="8" w:space="0" w:color="auto"/>
              <w:left w:val="nil"/>
              <w:bottom w:val="single" w:sz="4" w:space="0" w:color="auto"/>
              <w:right w:val="nil"/>
            </w:tcBorders>
            <w:shd w:val="clear" w:color="000000" w:fill="FFFFFF"/>
            <w:noWrap/>
            <w:vAlign w:val="center"/>
            <w:hideMark/>
          </w:tcPr>
          <w:p w14:paraId="1701AB39"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i/>
                <w:iCs/>
                <w:sz w:val="16"/>
                <w:szCs w:val="16"/>
              </w:rPr>
            </w:pPr>
            <w:r w:rsidRPr="001C5041">
              <w:rPr>
                <w:rFonts w:ascii="Cambria" w:eastAsia="Times New Roman" w:hAnsi="Cambria" w:cs="Times New Roman"/>
                <w:i/>
                <w:iCs/>
                <w:sz w:val="16"/>
                <w:szCs w:val="16"/>
              </w:rPr>
              <w:t>Predictor</w:t>
            </w:r>
          </w:p>
        </w:tc>
        <w:tc>
          <w:tcPr>
            <w:tcW w:w="2460" w:type="dxa"/>
            <w:gridSpan w:val="3"/>
            <w:tcBorders>
              <w:top w:val="single" w:sz="8" w:space="0" w:color="auto"/>
              <w:left w:val="nil"/>
              <w:bottom w:val="single" w:sz="4" w:space="0" w:color="auto"/>
              <w:right w:val="nil"/>
            </w:tcBorders>
            <w:shd w:val="clear" w:color="000000" w:fill="FFFFFF"/>
            <w:noWrap/>
            <w:vAlign w:val="center"/>
            <w:hideMark/>
          </w:tcPr>
          <w:p w14:paraId="36127409"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i/>
                <w:iCs/>
                <w:sz w:val="16"/>
                <w:szCs w:val="16"/>
              </w:rPr>
            </w:pPr>
            <w:r w:rsidRPr="001C5041">
              <w:rPr>
                <w:rFonts w:ascii="Cambria" w:eastAsia="Times New Roman" w:hAnsi="Cambria" w:cs="Times New Roman"/>
                <w:i/>
                <w:iCs/>
                <w:sz w:val="16"/>
                <w:szCs w:val="16"/>
              </w:rPr>
              <w:t>"Global test"</w:t>
            </w:r>
          </w:p>
        </w:tc>
        <w:tc>
          <w:tcPr>
            <w:tcW w:w="353" w:type="dxa"/>
            <w:tcBorders>
              <w:top w:val="single" w:sz="8" w:space="0" w:color="auto"/>
              <w:left w:val="nil"/>
              <w:bottom w:val="single" w:sz="4" w:space="0" w:color="auto"/>
              <w:right w:val="nil"/>
            </w:tcBorders>
            <w:shd w:val="clear" w:color="000000" w:fill="FFFFFF"/>
            <w:noWrap/>
            <w:vAlign w:val="center"/>
            <w:hideMark/>
          </w:tcPr>
          <w:p w14:paraId="7CFA5E4C"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i/>
                <w:iCs/>
                <w:sz w:val="16"/>
                <w:szCs w:val="16"/>
              </w:rPr>
            </w:pPr>
            <w:r w:rsidRPr="001C5041">
              <w:rPr>
                <w:rFonts w:ascii="Cambria" w:eastAsia="Times New Roman" w:hAnsi="Cambria" w:cs="Times New Roman"/>
                <w:i/>
                <w:iCs/>
                <w:sz w:val="16"/>
                <w:szCs w:val="16"/>
              </w:rPr>
              <w:t> </w:t>
            </w:r>
          </w:p>
        </w:tc>
        <w:tc>
          <w:tcPr>
            <w:tcW w:w="265" w:type="dxa"/>
            <w:tcBorders>
              <w:top w:val="single" w:sz="8" w:space="0" w:color="auto"/>
              <w:left w:val="nil"/>
              <w:bottom w:val="single" w:sz="4" w:space="0" w:color="auto"/>
              <w:right w:val="nil"/>
            </w:tcBorders>
            <w:shd w:val="clear" w:color="000000" w:fill="FFFFFF"/>
            <w:noWrap/>
            <w:vAlign w:val="center"/>
            <w:hideMark/>
          </w:tcPr>
          <w:p w14:paraId="2C00926E"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i/>
                <w:iCs/>
                <w:sz w:val="16"/>
                <w:szCs w:val="16"/>
              </w:rPr>
            </w:pPr>
            <w:r w:rsidRPr="001C5041">
              <w:rPr>
                <w:rFonts w:ascii="Cambria" w:eastAsia="Times New Roman" w:hAnsi="Cambria" w:cs="Times New Roman"/>
                <w:i/>
                <w:iCs/>
                <w:sz w:val="16"/>
                <w:szCs w:val="16"/>
              </w:rPr>
              <w:t> </w:t>
            </w:r>
          </w:p>
        </w:tc>
        <w:tc>
          <w:tcPr>
            <w:tcW w:w="3289" w:type="dxa"/>
            <w:gridSpan w:val="5"/>
            <w:tcBorders>
              <w:top w:val="single" w:sz="8" w:space="0" w:color="auto"/>
              <w:left w:val="nil"/>
              <w:bottom w:val="single" w:sz="4" w:space="0" w:color="auto"/>
              <w:right w:val="nil"/>
            </w:tcBorders>
            <w:shd w:val="clear" w:color="000000" w:fill="FFFFFF"/>
            <w:noWrap/>
            <w:vAlign w:val="center"/>
            <w:hideMark/>
          </w:tcPr>
          <w:p w14:paraId="2CFE5383"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i/>
                <w:iCs/>
                <w:sz w:val="16"/>
                <w:szCs w:val="16"/>
              </w:rPr>
            </w:pPr>
            <w:r w:rsidRPr="001C5041">
              <w:rPr>
                <w:rFonts w:ascii="Cambria" w:eastAsia="Times New Roman" w:hAnsi="Cambria" w:cs="Times New Roman"/>
                <w:i/>
                <w:iCs/>
                <w:sz w:val="16"/>
                <w:szCs w:val="16"/>
              </w:rPr>
              <w:t>Univariate test</w:t>
            </w:r>
          </w:p>
        </w:tc>
        <w:tc>
          <w:tcPr>
            <w:tcW w:w="293" w:type="dxa"/>
            <w:tcBorders>
              <w:top w:val="single" w:sz="8" w:space="0" w:color="auto"/>
              <w:left w:val="nil"/>
              <w:bottom w:val="single" w:sz="4" w:space="0" w:color="auto"/>
              <w:right w:val="nil"/>
            </w:tcBorders>
            <w:shd w:val="clear" w:color="000000" w:fill="FFFFFF"/>
            <w:noWrap/>
            <w:vAlign w:val="center"/>
            <w:hideMark/>
          </w:tcPr>
          <w:p w14:paraId="33D6A25B"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i/>
                <w:iCs/>
                <w:sz w:val="18"/>
                <w:szCs w:val="18"/>
              </w:rPr>
            </w:pPr>
            <w:r w:rsidRPr="001C5041">
              <w:rPr>
                <w:rFonts w:ascii="Cambria" w:eastAsia="Times New Roman" w:hAnsi="Cambria" w:cs="Times New Roman"/>
                <w:i/>
                <w:iCs/>
                <w:sz w:val="18"/>
                <w:szCs w:val="18"/>
              </w:rPr>
              <w:t> </w:t>
            </w:r>
          </w:p>
        </w:tc>
      </w:tr>
      <w:tr w:rsidR="001C5041" w:rsidRPr="001C5041" w14:paraId="15BB27EA" w14:textId="77777777" w:rsidTr="00B2646B">
        <w:trPr>
          <w:trHeight w:val="300"/>
          <w:jc w:val="center"/>
        </w:trPr>
        <w:tc>
          <w:tcPr>
            <w:tcW w:w="1520" w:type="dxa"/>
            <w:tcBorders>
              <w:top w:val="nil"/>
              <w:left w:val="nil"/>
              <w:bottom w:val="nil"/>
              <w:right w:val="nil"/>
            </w:tcBorders>
            <w:shd w:val="clear" w:color="000000" w:fill="FFFFFF"/>
            <w:noWrap/>
            <w:vAlign w:val="center"/>
            <w:hideMark/>
          </w:tcPr>
          <w:p w14:paraId="6710E159"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6"/>
                <w:szCs w:val="16"/>
              </w:rPr>
            </w:pPr>
            <w:r w:rsidRPr="001C5041">
              <w:rPr>
                <w:rFonts w:ascii="Cambria" w:eastAsia="Times New Roman" w:hAnsi="Cambria" w:cs="Times New Roman"/>
                <w:sz w:val="16"/>
                <w:szCs w:val="16"/>
              </w:rPr>
              <w:t> </w:t>
            </w:r>
          </w:p>
        </w:tc>
        <w:tc>
          <w:tcPr>
            <w:tcW w:w="2813" w:type="dxa"/>
            <w:gridSpan w:val="4"/>
            <w:tcBorders>
              <w:top w:val="nil"/>
              <w:left w:val="nil"/>
              <w:bottom w:val="nil"/>
              <w:right w:val="nil"/>
            </w:tcBorders>
            <w:shd w:val="clear" w:color="000000" w:fill="FFFFFF"/>
            <w:noWrap/>
            <w:vAlign w:val="center"/>
            <w:hideMark/>
          </w:tcPr>
          <w:p w14:paraId="0DA2078D"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i/>
                <w:iCs/>
                <w:sz w:val="16"/>
                <w:szCs w:val="16"/>
              </w:rPr>
            </w:pPr>
            <w:r w:rsidRPr="001C5041">
              <w:rPr>
                <w:rFonts w:ascii="Cambria" w:eastAsia="Times New Roman" w:hAnsi="Cambria" w:cs="Times New Roman"/>
                <w:i/>
                <w:iCs/>
                <w:sz w:val="16"/>
                <w:szCs w:val="16"/>
              </w:rPr>
              <w:t xml:space="preserve"> Wood density groups (WD)</w:t>
            </w:r>
          </w:p>
        </w:tc>
        <w:tc>
          <w:tcPr>
            <w:tcW w:w="265" w:type="dxa"/>
            <w:tcBorders>
              <w:top w:val="nil"/>
              <w:left w:val="nil"/>
              <w:bottom w:val="nil"/>
              <w:right w:val="nil"/>
            </w:tcBorders>
            <w:shd w:val="clear" w:color="000000" w:fill="FFFFFF"/>
            <w:noWrap/>
            <w:vAlign w:val="center"/>
            <w:hideMark/>
          </w:tcPr>
          <w:p w14:paraId="1C085523"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i/>
                <w:iCs/>
                <w:sz w:val="16"/>
                <w:szCs w:val="16"/>
              </w:rPr>
            </w:pPr>
            <w:r w:rsidRPr="001C5041">
              <w:rPr>
                <w:rFonts w:ascii="Cambria" w:eastAsia="Times New Roman" w:hAnsi="Cambria" w:cs="Times New Roman"/>
                <w:i/>
                <w:iCs/>
                <w:sz w:val="16"/>
                <w:szCs w:val="16"/>
              </w:rPr>
              <w:t> </w:t>
            </w:r>
          </w:p>
        </w:tc>
        <w:tc>
          <w:tcPr>
            <w:tcW w:w="1468" w:type="dxa"/>
            <w:gridSpan w:val="2"/>
            <w:tcBorders>
              <w:top w:val="single" w:sz="4" w:space="0" w:color="auto"/>
              <w:left w:val="nil"/>
              <w:bottom w:val="nil"/>
              <w:right w:val="nil"/>
            </w:tcBorders>
            <w:shd w:val="clear" w:color="000000" w:fill="FFFFFF"/>
            <w:noWrap/>
            <w:vAlign w:val="center"/>
            <w:hideMark/>
          </w:tcPr>
          <w:p w14:paraId="06B6D9F0"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i/>
                <w:iCs/>
                <w:sz w:val="16"/>
                <w:szCs w:val="16"/>
              </w:rPr>
            </w:pPr>
            <w:r w:rsidRPr="001C5041">
              <w:rPr>
                <w:rFonts w:ascii="Cambria" w:eastAsia="Times New Roman" w:hAnsi="Cambria" w:cs="Times New Roman"/>
                <w:i/>
                <w:iCs/>
                <w:sz w:val="16"/>
                <w:szCs w:val="16"/>
              </w:rPr>
              <w:t>WD ≤ 0.58 g/cm</w:t>
            </w:r>
            <w:r w:rsidRPr="001C5041">
              <w:rPr>
                <w:rFonts w:ascii="Cambria" w:eastAsia="Times New Roman" w:hAnsi="Cambria" w:cs="Times New Roman"/>
                <w:i/>
                <w:iCs/>
                <w:sz w:val="16"/>
                <w:szCs w:val="16"/>
                <w:vertAlign w:val="superscript"/>
              </w:rPr>
              <w:t>3</w:t>
            </w:r>
          </w:p>
        </w:tc>
        <w:tc>
          <w:tcPr>
            <w:tcW w:w="353" w:type="dxa"/>
            <w:tcBorders>
              <w:top w:val="nil"/>
              <w:left w:val="nil"/>
              <w:bottom w:val="nil"/>
              <w:right w:val="nil"/>
            </w:tcBorders>
            <w:shd w:val="clear" w:color="000000" w:fill="FFFFFF"/>
            <w:noWrap/>
            <w:vAlign w:val="center"/>
            <w:hideMark/>
          </w:tcPr>
          <w:p w14:paraId="2FD384D6"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i/>
                <w:iCs/>
                <w:sz w:val="16"/>
                <w:szCs w:val="16"/>
              </w:rPr>
            </w:pPr>
            <w:r w:rsidRPr="001C5041">
              <w:rPr>
                <w:rFonts w:ascii="Cambria" w:eastAsia="Times New Roman" w:hAnsi="Cambria" w:cs="Times New Roman"/>
                <w:i/>
                <w:iCs/>
                <w:sz w:val="16"/>
                <w:szCs w:val="16"/>
              </w:rPr>
              <w:t> </w:t>
            </w:r>
          </w:p>
        </w:tc>
        <w:tc>
          <w:tcPr>
            <w:tcW w:w="1468" w:type="dxa"/>
            <w:gridSpan w:val="2"/>
            <w:tcBorders>
              <w:top w:val="single" w:sz="4" w:space="0" w:color="auto"/>
              <w:left w:val="nil"/>
              <w:bottom w:val="nil"/>
              <w:right w:val="nil"/>
            </w:tcBorders>
            <w:shd w:val="clear" w:color="000000" w:fill="FFFFFF"/>
            <w:noWrap/>
            <w:vAlign w:val="center"/>
            <w:hideMark/>
          </w:tcPr>
          <w:p w14:paraId="609BC581"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i/>
                <w:iCs/>
                <w:sz w:val="16"/>
                <w:szCs w:val="16"/>
              </w:rPr>
            </w:pPr>
            <w:r w:rsidRPr="001C5041">
              <w:rPr>
                <w:rFonts w:ascii="Cambria" w:eastAsia="Times New Roman" w:hAnsi="Cambria" w:cs="Times New Roman"/>
                <w:i/>
                <w:iCs/>
                <w:sz w:val="16"/>
                <w:szCs w:val="16"/>
              </w:rPr>
              <w:t>WD &gt; 0.58 g/cm</w:t>
            </w:r>
            <w:r w:rsidRPr="001C5041">
              <w:rPr>
                <w:rFonts w:ascii="Cambria" w:eastAsia="Times New Roman" w:hAnsi="Cambria" w:cs="Times New Roman"/>
                <w:i/>
                <w:iCs/>
                <w:sz w:val="16"/>
                <w:szCs w:val="16"/>
                <w:vertAlign w:val="superscript"/>
              </w:rPr>
              <w:t>3</w:t>
            </w:r>
          </w:p>
        </w:tc>
        <w:tc>
          <w:tcPr>
            <w:tcW w:w="293" w:type="dxa"/>
            <w:tcBorders>
              <w:top w:val="nil"/>
              <w:left w:val="nil"/>
              <w:bottom w:val="nil"/>
              <w:right w:val="nil"/>
            </w:tcBorders>
            <w:shd w:val="clear" w:color="000000" w:fill="FFFFFF"/>
            <w:noWrap/>
            <w:vAlign w:val="center"/>
            <w:hideMark/>
          </w:tcPr>
          <w:p w14:paraId="52F4D5CE"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i/>
                <w:iCs/>
                <w:sz w:val="18"/>
                <w:szCs w:val="18"/>
              </w:rPr>
            </w:pPr>
            <w:r w:rsidRPr="001C5041">
              <w:rPr>
                <w:rFonts w:ascii="Cambria" w:eastAsia="Times New Roman" w:hAnsi="Cambria" w:cs="Times New Roman"/>
                <w:i/>
                <w:iCs/>
                <w:sz w:val="18"/>
                <w:szCs w:val="18"/>
              </w:rPr>
              <w:t> </w:t>
            </w:r>
          </w:p>
        </w:tc>
      </w:tr>
      <w:tr w:rsidR="001C5041" w:rsidRPr="001C5041" w14:paraId="37E8D384" w14:textId="77777777" w:rsidTr="00B2646B">
        <w:trPr>
          <w:trHeight w:val="300"/>
          <w:jc w:val="center"/>
        </w:trPr>
        <w:tc>
          <w:tcPr>
            <w:tcW w:w="1520" w:type="dxa"/>
            <w:tcBorders>
              <w:top w:val="nil"/>
              <w:left w:val="nil"/>
              <w:bottom w:val="nil"/>
              <w:right w:val="nil"/>
            </w:tcBorders>
            <w:shd w:val="clear" w:color="000000" w:fill="FFFFFF"/>
            <w:noWrap/>
            <w:vAlign w:val="center"/>
            <w:hideMark/>
          </w:tcPr>
          <w:p w14:paraId="47F6FAF3"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sz w:val="16"/>
                <w:szCs w:val="16"/>
              </w:rPr>
            </w:pPr>
            <w:r w:rsidRPr="001C5041">
              <w:rPr>
                <w:rFonts w:ascii="Cambria" w:eastAsia="Times New Roman" w:hAnsi="Cambria" w:cs="Times New Roman"/>
                <w:sz w:val="16"/>
                <w:szCs w:val="16"/>
              </w:rPr>
              <w:t> </w:t>
            </w:r>
          </w:p>
        </w:tc>
        <w:tc>
          <w:tcPr>
            <w:tcW w:w="822" w:type="dxa"/>
            <w:tcBorders>
              <w:top w:val="nil"/>
              <w:left w:val="nil"/>
              <w:bottom w:val="nil"/>
              <w:right w:val="nil"/>
            </w:tcBorders>
            <w:shd w:val="clear" w:color="000000" w:fill="FFFFFF"/>
            <w:noWrap/>
            <w:vAlign w:val="center"/>
            <w:hideMark/>
          </w:tcPr>
          <w:p w14:paraId="690605EE" w14:textId="1BDB2305"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Res.</w:t>
            </w:r>
            <w:r w:rsidR="00C16031">
              <w:rPr>
                <w:rFonts w:ascii="Cambria" w:eastAsia="Times New Roman" w:hAnsi="Cambria" w:cs="Times New Roman"/>
                <w:color w:val="auto"/>
                <w:sz w:val="16"/>
                <w:szCs w:val="16"/>
              </w:rPr>
              <w:t xml:space="preserve"> d</w:t>
            </w:r>
            <w:r w:rsidRPr="001C5041">
              <w:rPr>
                <w:rFonts w:ascii="Cambria" w:eastAsia="Times New Roman" w:hAnsi="Cambria" w:cs="Times New Roman"/>
                <w:color w:val="auto"/>
                <w:sz w:val="16"/>
                <w:szCs w:val="16"/>
              </w:rPr>
              <w:t>f</w:t>
            </w:r>
          </w:p>
        </w:tc>
        <w:tc>
          <w:tcPr>
            <w:tcW w:w="781" w:type="dxa"/>
            <w:tcBorders>
              <w:top w:val="nil"/>
              <w:left w:val="nil"/>
              <w:bottom w:val="nil"/>
              <w:right w:val="nil"/>
            </w:tcBorders>
            <w:shd w:val="clear" w:color="000000" w:fill="FFFFFF"/>
            <w:noWrap/>
            <w:vAlign w:val="center"/>
            <w:hideMark/>
          </w:tcPr>
          <w:p w14:paraId="271E6A82" w14:textId="4E2827EE"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F</w:t>
            </w:r>
          </w:p>
        </w:tc>
        <w:tc>
          <w:tcPr>
            <w:tcW w:w="857" w:type="dxa"/>
            <w:tcBorders>
              <w:top w:val="nil"/>
              <w:left w:val="nil"/>
              <w:bottom w:val="nil"/>
              <w:right w:val="nil"/>
            </w:tcBorders>
            <w:shd w:val="clear" w:color="000000" w:fill="FFFFFF"/>
            <w:noWrap/>
            <w:vAlign w:val="center"/>
            <w:hideMark/>
          </w:tcPr>
          <w:p w14:paraId="54E8B80B"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Pr(&gt;F)</w:t>
            </w:r>
          </w:p>
        </w:tc>
        <w:tc>
          <w:tcPr>
            <w:tcW w:w="353" w:type="dxa"/>
            <w:tcBorders>
              <w:top w:val="nil"/>
              <w:left w:val="nil"/>
              <w:bottom w:val="nil"/>
              <w:right w:val="nil"/>
            </w:tcBorders>
            <w:shd w:val="clear" w:color="000000" w:fill="FFFFFF"/>
            <w:noWrap/>
            <w:vAlign w:val="center"/>
            <w:hideMark/>
          </w:tcPr>
          <w:p w14:paraId="7EE96E63"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265" w:type="dxa"/>
            <w:tcBorders>
              <w:top w:val="nil"/>
              <w:left w:val="nil"/>
              <w:bottom w:val="nil"/>
              <w:right w:val="nil"/>
            </w:tcBorders>
            <w:shd w:val="clear" w:color="000000" w:fill="FFFFFF"/>
            <w:noWrap/>
            <w:vAlign w:val="center"/>
            <w:hideMark/>
          </w:tcPr>
          <w:p w14:paraId="5C3CB77C"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760" w:type="dxa"/>
            <w:tcBorders>
              <w:top w:val="nil"/>
              <w:left w:val="nil"/>
              <w:bottom w:val="nil"/>
              <w:right w:val="nil"/>
            </w:tcBorders>
            <w:shd w:val="clear" w:color="000000" w:fill="FFFFFF"/>
            <w:noWrap/>
            <w:vAlign w:val="center"/>
            <w:hideMark/>
          </w:tcPr>
          <w:p w14:paraId="20580310" w14:textId="4D902CE4"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F</w:t>
            </w:r>
          </w:p>
        </w:tc>
        <w:tc>
          <w:tcPr>
            <w:tcW w:w="708" w:type="dxa"/>
            <w:tcBorders>
              <w:top w:val="nil"/>
              <w:left w:val="nil"/>
              <w:bottom w:val="nil"/>
              <w:right w:val="nil"/>
            </w:tcBorders>
            <w:shd w:val="clear" w:color="000000" w:fill="FFFFFF"/>
            <w:noWrap/>
            <w:vAlign w:val="center"/>
            <w:hideMark/>
          </w:tcPr>
          <w:p w14:paraId="6B7A4FAE"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Pr(&gt;F)</w:t>
            </w:r>
          </w:p>
        </w:tc>
        <w:tc>
          <w:tcPr>
            <w:tcW w:w="353" w:type="dxa"/>
            <w:tcBorders>
              <w:top w:val="nil"/>
              <w:left w:val="nil"/>
              <w:bottom w:val="nil"/>
              <w:right w:val="nil"/>
            </w:tcBorders>
            <w:shd w:val="clear" w:color="000000" w:fill="FFFFFF"/>
            <w:noWrap/>
            <w:vAlign w:val="center"/>
            <w:hideMark/>
          </w:tcPr>
          <w:p w14:paraId="4E4FC25E"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760" w:type="dxa"/>
            <w:tcBorders>
              <w:top w:val="nil"/>
              <w:left w:val="nil"/>
              <w:bottom w:val="nil"/>
              <w:right w:val="nil"/>
            </w:tcBorders>
            <w:shd w:val="clear" w:color="000000" w:fill="FFFFFF"/>
            <w:noWrap/>
            <w:vAlign w:val="center"/>
            <w:hideMark/>
          </w:tcPr>
          <w:p w14:paraId="64E0693C" w14:textId="203C74E6" w:rsidR="001C5041" w:rsidRPr="001C5041" w:rsidRDefault="001C5041" w:rsidP="00C160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F</w:t>
            </w:r>
          </w:p>
        </w:tc>
        <w:tc>
          <w:tcPr>
            <w:tcW w:w="708" w:type="dxa"/>
            <w:tcBorders>
              <w:top w:val="nil"/>
              <w:left w:val="nil"/>
              <w:bottom w:val="nil"/>
              <w:right w:val="nil"/>
            </w:tcBorders>
            <w:shd w:val="clear" w:color="000000" w:fill="FFFFFF"/>
            <w:noWrap/>
            <w:vAlign w:val="center"/>
            <w:hideMark/>
          </w:tcPr>
          <w:p w14:paraId="103221E1"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Pr(&gt;F)</w:t>
            </w:r>
          </w:p>
        </w:tc>
        <w:tc>
          <w:tcPr>
            <w:tcW w:w="293" w:type="dxa"/>
            <w:tcBorders>
              <w:top w:val="nil"/>
              <w:left w:val="nil"/>
              <w:bottom w:val="nil"/>
              <w:right w:val="nil"/>
            </w:tcBorders>
            <w:shd w:val="clear" w:color="000000" w:fill="FFFFFF"/>
            <w:noWrap/>
            <w:vAlign w:val="center"/>
            <w:hideMark/>
          </w:tcPr>
          <w:p w14:paraId="6E4A6A9C"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sz w:val="18"/>
                <w:szCs w:val="18"/>
              </w:rPr>
            </w:pPr>
            <w:r w:rsidRPr="001C5041">
              <w:rPr>
                <w:rFonts w:ascii="Cambria" w:eastAsia="Times New Roman" w:hAnsi="Cambria" w:cs="Times New Roman"/>
                <w:sz w:val="18"/>
                <w:szCs w:val="18"/>
              </w:rPr>
              <w:t> </w:t>
            </w:r>
          </w:p>
        </w:tc>
      </w:tr>
      <w:tr w:rsidR="001C5041" w:rsidRPr="001C5041" w14:paraId="7942F09F" w14:textId="77777777" w:rsidTr="00B2646B">
        <w:trPr>
          <w:trHeight w:val="300"/>
          <w:jc w:val="center"/>
        </w:trPr>
        <w:tc>
          <w:tcPr>
            <w:tcW w:w="1520" w:type="dxa"/>
            <w:tcBorders>
              <w:top w:val="nil"/>
              <w:left w:val="nil"/>
              <w:bottom w:val="nil"/>
              <w:right w:val="nil"/>
            </w:tcBorders>
            <w:shd w:val="clear" w:color="000000" w:fill="FFFFFF"/>
            <w:noWrap/>
            <w:vAlign w:val="center"/>
            <w:hideMark/>
          </w:tcPr>
          <w:p w14:paraId="7A0737B5"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eastAsia="Times New Roman" w:hAnsi="Cambria" w:cs="Times New Roman"/>
                <w:i/>
                <w:iCs/>
                <w:sz w:val="16"/>
                <w:szCs w:val="16"/>
              </w:rPr>
            </w:pPr>
            <w:r w:rsidRPr="001C5041">
              <w:rPr>
                <w:rFonts w:ascii="Cambria" w:eastAsia="Times New Roman" w:hAnsi="Cambria" w:cs="Times New Roman"/>
                <w:i/>
                <w:iCs/>
                <w:sz w:val="16"/>
                <w:szCs w:val="16"/>
              </w:rPr>
              <w:t>Sand %</w:t>
            </w:r>
          </w:p>
        </w:tc>
        <w:tc>
          <w:tcPr>
            <w:tcW w:w="822" w:type="dxa"/>
            <w:tcBorders>
              <w:top w:val="nil"/>
              <w:left w:val="nil"/>
              <w:bottom w:val="nil"/>
              <w:right w:val="nil"/>
            </w:tcBorders>
            <w:shd w:val="clear" w:color="000000" w:fill="FFFFFF"/>
            <w:noWrap/>
            <w:vAlign w:val="center"/>
            <w:hideMark/>
          </w:tcPr>
          <w:p w14:paraId="01F102E9"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Times New Roman"/>
                <w:sz w:val="16"/>
                <w:szCs w:val="16"/>
              </w:rPr>
            </w:pPr>
            <w:r w:rsidRPr="001C5041">
              <w:rPr>
                <w:rFonts w:eastAsia="Times New Roman" w:cs="Times New Roman"/>
                <w:sz w:val="16"/>
                <w:szCs w:val="16"/>
              </w:rPr>
              <w:t>30</w:t>
            </w:r>
          </w:p>
        </w:tc>
        <w:tc>
          <w:tcPr>
            <w:tcW w:w="781" w:type="dxa"/>
            <w:tcBorders>
              <w:top w:val="nil"/>
              <w:left w:val="nil"/>
              <w:bottom w:val="nil"/>
              <w:right w:val="nil"/>
            </w:tcBorders>
            <w:shd w:val="clear" w:color="000000" w:fill="FFFFFF"/>
            <w:noWrap/>
            <w:vAlign w:val="center"/>
            <w:hideMark/>
          </w:tcPr>
          <w:p w14:paraId="16094458"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8.1</w:t>
            </w:r>
          </w:p>
        </w:tc>
        <w:tc>
          <w:tcPr>
            <w:tcW w:w="857" w:type="dxa"/>
            <w:tcBorders>
              <w:top w:val="nil"/>
              <w:left w:val="nil"/>
              <w:bottom w:val="nil"/>
              <w:right w:val="nil"/>
            </w:tcBorders>
            <w:shd w:val="clear" w:color="000000" w:fill="FFFFFF"/>
            <w:noWrap/>
            <w:vAlign w:val="center"/>
            <w:hideMark/>
          </w:tcPr>
          <w:p w14:paraId="7C8F9113"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0.0373</w:t>
            </w:r>
          </w:p>
        </w:tc>
        <w:tc>
          <w:tcPr>
            <w:tcW w:w="353" w:type="dxa"/>
            <w:tcBorders>
              <w:top w:val="nil"/>
              <w:left w:val="nil"/>
              <w:bottom w:val="nil"/>
              <w:right w:val="nil"/>
            </w:tcBorders>
            <w:shd w:val="clear" w:color="000000" w:fill="FFFFFF"/>
            <w:noWrap/>
            <w:vAlign w:val="center"/>
            <w:hideMark/>
          </w:tcPr>
          <w:p w14:paraId="2ABD8415"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w:t>
            </w:r>
          </w:p>
        </w:tc>
        <w:tc>
          <w:tcPr>
            <w:tcW w:w="265" w:type="dxa"/>
            <w:tcBorders>
              <w:top w:val="nil"/>
              <w:left w:val="nil"/>
              <w:bottom w:val="nil"/>
              <w:right w:val="nil"/>
            </w:tcBorders>
            <w:shd w:val="clear" w:color="000000" w:fill="FFFFFF"/>
            <w:noWrap/>
            <w:vAlign w:val="center"/>
            <w:hideMark/>
          </w:tcPr>
          <w:p w14:paraId="4380EEF9"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760" w:type="dxa"/>
            <w:tcBorders>
              <w:top w:val="nil"/>
              <w:left w:val="nil"/>
              <w:bottom w:val="nil"/>
              <w:right w:val="nil"/>
            </w:tcBorders>
            <w:shd w:val="clear" w:color="000000" w:fill="FFFFFF"/>
            <w:noWrap/>
            <w:vAlign w:val="center"/>
            <w:hideMark/>
          </w:tcPr>
          <w:p w14:paraId="445C9C06"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5974</w:t>
            </w:r>
          </w:p>
        </w:tc>
        <w:tc>
          <w:tcPr>
            <w:tcW w:w="708" w:type="dxa"/>
            <w:tcBorders>
              <w:top w:val="nil"/>
              <w:left w:val="nil"/>
              <w:bottom w:val="nil"/>
              <w:right w:val="nil"/>
            </w:tcBorders>
            <w:shd w:val="clear" w:color="000000" w:fill="FFFFFF"/>
            <w:noWrap/>
            <w:vAlign w:val="center"/>
            <w:hideMark/>
          </w:tcPr>
          <w:p w14:paraId="2FDA7CA7"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0.0483</w:t>
            </w:r>
          </w:p>
        </w:tc>
        <w:tc>
          <w:tcPr>
            <w:tcW w:w="353" w:type="dxa"/>
            <w:tcBorders>
              <w:top w:val="nil"/>
              <w:left w:val="nil"/>
              <w:bottom w:val="nil"/>
              <w:right w:val="nil"/>
            </w:tcBorders>
            <w:shd w:val="clear" w:color="000000" w:fill="FFFFFF"/>
            <w:noWrap/>
            <w:vAlign w:val="center"/>
            <w:hideMark/>
          </w:tcPr>
          <w:p w14:paraId="6BECF0C7"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w:t>
            </w:r>
          </w:p>
        </w:tc>
        <w:tc>
          <w:tcPr>
            <w:tcW w:w="760" w:type="dxa"/>
            <w:tcBorders>
              <w:top w:val="nil"/>
              <w:left w:val="nil"/>
              <w:bottom w:val="nil"/>
              <w:right w:val="nil"/>
            </w:tcBorders>
            <w:shd w:val="clear" w:color="000000" w:fill="FFFFFF"/>
            <w:noWrap/>
            <w:vAlign w:val="center"/>
            <w:hideMark/>
          </w:tcPr>
          <w:p w14:paraId="7BDDE186"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2126</w:t>
            </w:r>
          </w:p>
        </w:tc>
        <w:tc>
          <w:tcPr>
            <w:tcW w:w="708" w:type="dxa"/>
            <w:tcBorders>
              <w:top w:val="nil"/>
              <w:left w:val="nil"/>
              <w:bottom w:val="nil"/>
              <w:right w:val="nil"/>
            </w:tcBorders>
            <w:shd w:val="clear" w:color="000000" w:fill="FFFFFF"/>
            <w:noWrap/>
            <w:vAlign w:val="center"/>
            <w:hideMark/>
          </w:tcPr>
          <w:p w14:paraId="0A21CCCA"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0.1525</w:t>
            </w:r>
          </w:p>
        </w:tc>
        <w:tc>
          <w:tcPr>
            <w:tcW w:w="293" w:type="dxa"/>
            <w:tcBorders>
              <w:top w:val="nil"/>
              <w:left w:val="nil"/>
              <w:bottom w:val="nil"/>
              <w:right w:val="nil"/>
            </w:tcBorders>
            <w:shd w:val="clear" w:color="000000" w:fill="FFFFFF"/>
            <w:noWrap/>
            <w:vAlign w:val="center"/>
            <w:hideMark/>
          </w:tcPr>
          <w:p w14:paraId="4DBA25A4"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sz w:val="18"/>
                <w:szCs w:val="18"/>
              </w:rPr>
            </w:pPr>
            <w:r w:rsidRPr="001C5041">
              <w:rPr>
                <w:rFonts w:ascii="Cambria" w:eastAsia="Times New Roman" w:hAnsi="Cambria" w:cs="Times New Roman"/>
                <w:sz w:val="18"/>
                <w:szCs w:val="18"/>
              </w:rPr>
              <w:t> </w:t>
            </w:r>
          </w:p>
        </w:tc>
      </w:tr>
      <w:tr w:rsidR="001C5041" w:rsidRPr="001C5041" w14:paraId="7965CD45" w14:textId="77777777" w:rsidTr="00B2646B">
        <w:trPr>
          <w:trHeight w:val="300"/>
          <w:jc w:val="center"/>
        </w:trPr>
        <w:tc>
          <w:tcPr>
            <w:tcW w:w="1520" w:type="dxa"/>
            <w:tcBorders>
              <w:top w:val="nil"/>
              <w:left w:val="nil"/>
              <w:bottom w:val="nil"/>
              <w:right w:val="nil"/>
            </w:tcBorders>
            <w:shd w:val="clear" w:color="000000" w:fill="FFFFFF"/>
            <w:noWrap/>
            <w:vAlign w:val="center"/>
            <w:hideMark/>
          </w:tcPr>
          <w:p w14:paraId="1816011F" w14:textId="20DB0B91" w:rsidR="001C5041" w:rsidRPr="001C5041" w:rsidRDefault="004E35C9"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eastAsia="Times New Roman" w:hAnsi="Cambria" w:cs="Times New Roman"/>
                <w:i/>
                <w:iCs/>
                <w:sz w:val="16"/>
                <w:szCs w:val="16"/>
              </w:rPr>
            </w:pPr>
            <w:r>
              <w:rPr>
                <w:rFonts w:ascii="Cambria" w:eastAsia="Times New Roman" w:hAnsi="Cambria" w:cs="Times New Roman"/>
                <w:i/>
                <w:iCs/>
                <w:sz w:val="16"/>
                <w:szCs w:val="16"/>
              </w:rPr>
              <w:t>F</w:t>
            </w:r>
            <w:r w:rsidR="001C5041" w:rsidRPr="001C5041">
              <w:rPr>
                <w:rFonts w:ascii="Cambria" w:eastAsia="Times New Roman" w:hAnsi="Cambria" w:cs="Times New Roman"/>
                <w:i/>
                <w:iCs/>
                <w:sz w:val="16"/>
                <w:szCs w:val="16"/>
              </w:rPr>
              <w:t>orest coverage %</w:t>
            </w:r>
          </w:p>
        </w:tc>
        <w:tc>
          <w:tcPr>
            <w:tcW w:w="822" w:type="dxa"/>
            <w:tcBorders>
              <w:top w:val="nil"/>
              <w:left w:val="nil"/>
              <w:bottom w:val="nil"/>
              <w:right w:val="nil"/>
            </w:tcBorders>
            <w:shd w:val="clear" w:color="000000" w:fill="FFFFFF"/>
            <w:noWrap/>
            <w:vAlign w:val="center"/>
            <w:hideMark/>
          </w:tcPr>
          <w:p w14:paraId="1F35B165"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Times New Roman"/>
                <w:sz w:val="16"/>
                <w:szCs w:val="16"/>
              </w:rPr>
            </w:pPr>
            <w:r w:rsidRPr="001C5041">
              <w:rPr>
                <w:rFonts w:eastAsia="Times New Roman" w:cs="Times New Roman"/>
                <w:sz w:val="16"/>
                <w:szCs w:val="16"/>
              </w:rPr>
              <w:t>29</w:t>
            </w:r>
          </w:p>
        </w:tc>
        <w:tc>
          <w:tcPr>
            <w:tcW w:w="781" w:type="dxa"/>
            <w:tcBorders>
              <w:top w:val="nil"/>
              <w:left w:val="nil"/>
              <w:bottom w:val="nil"/>
              <w:right w:val="nil"/>
            </w:tcBorders>
            <w:shd w:val="clear" w:color="000000" w:fill="FFFFFF"/>
            <w:noWrap/>
            <w:vAlign w:val="center"/>
            <w:hideMark/>
          </w:tcPr>
          <w:p w14:paraId="69E32CD5"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7646</w:t>
            </w:r>
          </w:p>
        </w:tc>
        <w:tc>
          <w:tcPr>
            <w:tcW w:w="857" w:type="dxa"/>
            <w:tcBorders>
              <w:top w:val="nil"/>
              <w:left w:val="nil"/>
              <w:bottom w:val="nil"/>
              <w:right w:val="nil"/>
            </w:tcBorders>
            <w:shd w:val="clear" w:color="000000" w:fill="FFFFFF"/>
            <w:noWrap/>
            <w:vAlign w:val="center"/>
            <w:hideMark/>
          </w:tcPr>
          <w:p w14:paraId="4B3BC99C"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0.0350</w:t>
            </w:r>
          </w:p>
        </w:tc>
        <w:tc>
          <w:tcPr>
            <w:tcW w:w="353" w:type="dxa"/>
            <w:tcBorders>
              <w:top w:val="nil"/>
              <w:left w:val="nil"/>
              <w:bottom w:val="nil"/>
              <w:right w:val="nil"/>
            </w:tcBorders>
            <w:shd w:val="clear" w:color="000000" w:fill="FFFFFF"/>
            <w:noWrap/>
            <w:vAlign w:val="center"/>
            <w:hideMark/>
          </w:tcPr>
          <w:p w14:paraId="4FB24488"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w:t>
            </w:r>
          </w:p>
        </w:tc>
        <w:tc>
          <w:tcPr>
            <w:tcW w:w="265" w:type="dxa"/>
            <w:tcBorders>
              <w:top w:val="nil"/>
              <w:left w:val="nil"/>
              <w:bottom w:val="nil"/>
              <w:right w:val="nil"/>
            </w:tcBorders>
            <w:shd w:val="clear" w:color="000000" w:fill="FFFFFF"/>
            <w:noWrap/>
            <w:vAlign w:val="center"/>
            <w:hideMark/>
          </w:tcPr>
          <w:p w14:paraId="04FBED9A"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760" w:type="dxa"/>
            <w:tcBorders>
              <w:top w:val="nil"/>
              <w:left w:val="nil"/>
              <w:bottom w:val="nil"/>
              <w:right w:val="nil"/>
            </w:tcBorders>
            <w:shd w:val="clear" w:color="000000" w:fill="FFFFFF"/>
            <w:noWrap/>
            <w:vAlign w:val="center"/>
            <w:hideMark/>
          </w:tcPr>
          <w:p w14:paraId="4FD6D867"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4796</w:t>
            </w:r>
          </w:p>
        </w:tc>
        <w:tc>
          <w:tcPr>
            <w:tcW w:w="708" w:type="dxa"/>
            <w:tcBorders>
              <w:top w:val="nil"/>
              <w:left w:val="nil"/>
              <w:bottom w:val="nil"/>
              <w:right w:val="nil"/>
            </w:tcBorders>
            <w:shd w:val="clear" w:color="000000" w:fill="FFFFFF"/>
            <w:noWrap/>
            <w:vAlign w:val="center"/>
            <w:hideMark/>
          </w:tcPr>
          <w:p w14:paraId="0038CEC0"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0.0697</w:t>
            </w:r>
          </w:p>
        </w:tc>
        <w:tc>
          <w:tcPr>
            <w:tcW w:w="353" w:type="dxa"/>
            <w:tcBorders>
              <w:top w:val="nil"/>
              <w:left w:val="nil"/>
              <w:bottom w:val="nil"/>
              <w:right w:val="nil"/>
            </w:tcBorders>
            <w:shd w:val="clear" w:color="000000" w:fill="FFFFFF"/>
            <w:noWrap/>
            <w:vAlign w:val="center"/>
            <w:hideMark/>
          </w:tcPr>
          <w:p w14:paraId="1E603B5F"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w:t>
            </w:r>
          </w:p>
        </w:tc>
        <w:tc>
          <w:tcPr>
            <w:tcW w:w="760" w:type="dxa"/>
            <w:tcBorders>
              <w:top w:val="nil"/>
              <w:left w:val="nil"/>
              <w:bottom w:val="nil"/>
              <w:right w:val="nil"/>
            </w:tcBorders>
            <w:shd w:val="clear" w:color="000000" w:fill="FFFFFF"/>
            <w:noWrap/>
            <w:vAlign w:val="center"/>
            <w:hideMark/>
          </w:tcPr>
          <w:p w14:paraId="6CD27803"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2.85</w:t>
            </w:r>
          </w:p>
        </w:tc>
        <w:tc>
          <w:tcPr>
            <w:tcW w:w="708" w:type="dxa"/>
            <w:tcBorders>
              <w:top w:val="nil"/>
              <w:left w:val="nil"/>
              <w:bottom w:val="nil"/>
              <w:right w:val="nil"/>
            </w:tcBorders>
            <w:shd w:val="clear" w:color="000000" w:fill="FFFFFF"/>
            <w:noWrap/>
            <w:vAlign w:val="center"/>
            <w:hideMark/>
          </w:tcPr>
          <w:p w14:paraId="615304C6"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0.0995</w:t>
            </w:r>
          </w:p>
        </w:tc>
        <w:tc>
          <w:tcPr>
            <w:tcW w:w="293" w:type="dxa"/>
            <w:tcBorders>
              <w:top w:val="nil"/>
              <w:left w:val="nil"/>
              <w:bottom w:val="nil"/>
              <w:right w:val="nil"/>
            </w:tcBorders>
            <w:shd w:val="clear" w:color="000000" w:fill="FFFFFF"/>
            <w:noWrap/>
            <w:vAlign w:val="center"/>
            <w:hideMark/>
          </w:tcPr>
          <w:p w14:paraId="48EAF92B"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sz w:val="18"/>
                <w:szCs w:val="18"/>
              </w:rPr>
            </w:pPr>
            <w:r w:rsidRPr="001C5041">
              <w:rPr>
                <w:rFonts w:ascii="Cambria" w:eastAsia="Times New Roman" w:hAnsi="Cambria" w:cs="Times New Roman"/>
                <w:sz w:val="18"/>
                <w:szCs w:val="18"/>
              </w:rPr>
              <w:t> </w:t>
            </w:r>
          </w:p>
        </w:tc>
      </w:tr>
      <w:tr w:rsidR="001C5041" w:rsidRPr="001C5041" w14:paraId="4D9F452C" w14:textId="77777777" w:rsidTr="00B2646B">
        <w:trPr>
          <w:trHeight w:val="300"/>
          <w:jc w:val="center"/>
        </w:trPr>
        <w:tc>
          <w:tcPr>
            <w:tcW w:w="1520" w:type="dxa"/>
            <w:tcBorders>
              <w:top w:val="nil"/>
              <w:left w:val="nil"/>
              <w:bottom w:val="nil"/>
              <w:right w:val="nil"/>
            </w:tcBorders>
            <w:shd w:val="clear" w:color="000000" w:fill="FFFFFF"/>
            <w:noWrap/>
            <w:vAlign w:val="center"/>
            <w:hideMark/>
          </w:tcPr>
          <w:p w14:paraId="5180CA6C"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eastAsia="Times New Roman" w:hAnsi="Cambria" w:cs="Times New Roman"/>
                <w:i/>
                <w:iCs/>
                <w:sz w:val="16"/>
                <w:szCs w:val="16"/>
              </w:rPr>
            </w:pPr>
            <w:r w:rsidRPr="001C5041">
              <w:rPr>
                <w:rFonts w:ascii="Cambria" w:eastAsia="Times New Roman" w:hAnsi="Cambria" w:cs="Times New Roman"/>
                <w:i/>
                <w:iCs/>
                <w:sz w:val="16"/>
                <w:szCs w:val="16"/>
              </w:rPr>
              <w:t>Soil group</w:t>
            </w:r>
          </w:p>
        </w:tc>
        <w:tc>
          <w:tcPr>
            <w:tcW w:w="822" w:type="dxa"/>
            <w:tcBorders>
              <w:top w:val="nil"/>
              <w:left w:val="nil"/>
              <w:bottom w:val="nil"/>
              <w:right w:val="nil"/>
            </w:tcBorders>
            <w:shd w:val="clear" w:color="000000" w:fill="FFFFFF"/>
            <w:noWrap/>
            <w:vAlign w:val="center"/>
            <w:hideMark/>
          </w:tcPr>
          <w:p w14:paraId="54E282E6"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Times New Roman"/>
                <w:sz w:val="16"/>
                <w:szCs w:val="16"/>
              </w:rPr>
            </w:pPr>
            <w:r w:rsidRPr="001C5041">
              <w:rPr>
                <w:rFonts w:eastAsia="Times New Roman" w:cs="Times New Roman"/>
                <w:sz w:val="16"/>
                <w:szCs w:val="16"/>
              </w:rPr>
              <w:t>28</w:t>
            </w:r>
          </w:p>
        </w:tc>
        <w:tc>
          <w:tcPr>
            <w:tcW w:w="781" w:type="dxa"/>
            <w:tcBorders>
              <w:top w:val="nil"/>
              <w:left w:val="nil"/>
              <w:bottom w:val="nil"/>
              <w:right w:val="nil"/>
            </w:tcBorders>
            <w:shd w:val="clear" w:color="000000" w:fill="FFFFFF"/>
            <w:noWrap/>
            <w:vAlign w:val="center"/>
            <w:hideMark/>
          </w:tcPr>
          <w:p w14:paraId="10C4A074"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2181</w:t>
            </w:r>
          </w:p>
        </w:tc>
        <w:tc>
          <w:tcPr>
            <w:tcW w:w="857" w:type="dxa"/>
            <w:tcBorders>
              <w:top w:val="nil"/>
              <w:left w:val="nil"/>
              <w:bottom w:val="nil"/>
              <w:right w:val="nil"/>
            </w:tcBorders>
            <w:shd w:val="clear" w:color="000000" w:fill="FFFFFF"/>
            <w:noWrap/>
            <w:vAlign w:val="center"/>
            <w:hideMark/>
          </w:tcPr>
          <w:p w14:paraId="624C2F05"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0.3504</w:t>
            </w:r>
          </w:p>
        </w:tc>
        <w:tc>
          <w:tcPr>
            <w:tcW w:w="353" w:type="dxa"/>
            <w:tcBorders>
              <w:top w:val="nil"/>
              <w:left w:val="nil"/>
              <w:bottom w:val="nil"/>
              <w:right w:val="nil"/>
            </w:tcBorders>
            <w:shd w:val="clear" w:color="000000" w:fill="FFFFFF"/>
            <w:noWrap/>
            <w:vAlign w:val="center"/>
            <w:hideMark/>
          </w:tcPr>
          <w:p w14:paraId="1FB4CB74"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265" w:type="dxa"/>
            <w:tcBorders>
              <w:top w:val="nil"/>
              <w:left w:val="nil"/>
              <w:bottom w:val="nil"/>
              <w:right w:val="nil"/>
            </w:tcBorders>
            <w:shd w:val="clear" w:color="000000" w:fill="FFFFFF"/>
            <w:noWrap/>
            <w:vAlign w:val="center"/>
            <w:hideMark/>
          </w:tcPr>
          <w:p w14:paraId="75EDE58C"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760" w:type="dxa"/>
            <w:tcBorders>
              <w:top w:val="nil"/>
              <w:left w:val="nil"/>
              <w:bottom w:val="nil"/>
              <w:right w:val="nil"/>
            </w:tcBorders>
            <w:shd w:val="clear" w:color="000000" w:fill="FFFFFF"/>
            <w:noWrap/>
            <w:vAlign w:val="center"/>
            <w:hideMark/>
          </w:tcPr>
          <w:p w14:paraId="428C25D8"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1528</w:t>
            </w:r>
          </w:p>
        </w:tc>
        <w:tc>
          <w:tcPr>
            <w:tcW w:w="708" w:type="dxa"/>
            <w:tcBorders>
              <w:top w:val="nil"/>
              <w:left w:val="nil"/>
              <w:bottom w:val="nil"/>
              <w:right w:val="nil"/>
            </w:tcBorders>
            <w:shd w:val="clear" w:color="000000" w:fill="FFFFFF"/>
            <w:noWrap/>
            <w:vAlign w:val="center"/>
            <w:hideMark/>
          </w:tcPr>
          <w:p w14:paraId="15949E39"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0.4056</w:t>
            </w:r>
          </w:p>
        </w:tc>
        <w:tc>
          <w:tcPr>
            <w:tcW w:w="353" w:type="dxa"/>
            <w:tcBorders>
              <w:top w:val="nil"/>
              <w:left w:val="nil"/>
              <w:bottom w:val="nil"/>
              <w:right w:val="nil"/>
            </w:tcBorders>
            <w:shd w:val="clear" w:color="000000" w:fill="FFFFFF"/>
            <w:noWrap/>
            <w:vAlign w:val="center"/>
            <w:hideMark/>
          </w:tcPr>
          <w:p w14:paraId="0186A084"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760" w:type="dxa"/>
            <w:tcBorders>
              <w:top w:val="nil"/>
              <w:left w:val="nil"/>
              <w:bottom w:val="nil"/>
              <w:right w:val="nil"/>
            </w:tcBorders>
            <w:shd w:val="clear" w:color="000000" w:fill="FFFFFF"/>
            <w:noWrap/>
            <w:vAlign w:val="center"/>
            <w:hideMark/>
          </w:tcPr>
          <w:p w14:paraId="24C89716"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0.653</w:t>
            </w:r>
          </w:p>
        </w:tc>
        <w:tc>
          <w:tcPr>
            <w:tcW w:w="708" w:type="dxa"/>
            <w:tcBorders>
              <w:top w:val="nil"/>
              <w:left w:val="nil"/>
              <w:bottom w:val="nil"/>
              <w:right w:val="nil"/>
            </w:tcBorders>
            <w:shd w:val="clear" w:color="000000" w:fill="FFFFFF"/>
            <w:noWrap/>
            <w:vAlign w:val="center"/>
            <w:hideMark/>
          </w:tcPr>
          <w:p w14:paraId="3E58E423"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0.4296</w:t>
            </w:r>
          </w:p>
        </w:tc>
        <w:tc>
          <w:tcPr>
            <w:tcW w:w="293" w:type="dxa"/>
            <w:tcBorders>
              <w:top w:val="nil"/>
              <w:left w:val="nil"/>
              <w:bottom w:val="nil"/>
              <w:right w:val="nil"/>
            </w:tcBorders>
            <w:shd w:val="clear" w:color="000000" w:fill="FFFFFF"/>
            <w:noWrap/>
            <w:vAlign w:val="center"/>
            <w:hideMark/>
          </w:tcPr>
          <w:p w14:paraId="7334DA15"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sz w:val="18"/>
                <w:szCs w:val="18"/>
              </w:rPr>
            </w:pPr>
            <w:r w:rsidRPr="001C5041">
              <w:rPr>
                <w:rFonts w:ascii="Cambria" w:eastAsia="Times New Roman" w:hAnsi="Cambria" w:cs="Times New Roman"/>
                <w:sz w:val="18"/>
                <w:szCs w:val="18"/>
              </w:rPr>
              <w:t> </w:t>
            </w:r>
          </w:p>
        </w:tc>
      </w:tr>
      <w:tr w:rsidR="001C5041" w:rsidRPr="001C5041" w14:paraId="0C7F5790" w14:textId="77777777" w:rsidTr="00B2646B">
        <w:trPr>
          <w:trHeight w:val="300"/>
          <w:jc w:val="center"/>
        </w:trPr>
        <w:tc>
          <w:tcPr>
            <w:tcW w:w="1520" w:type="dxa"/>
            <w:tcBorders>
              <w:top w:val="nil"/>
              <w:left w:val="nil"/>
              <w:bottom w:val="nil"/>
              <w:right w:val="nil"/>
            </w:tcBorders>
            <w:shd w:val="clear" w:color="000000" w:fill="FFFFFF"/>
            <w:noWrap/>
            <w:vAlign w:val="center"/>
            <w:hideMark/>
          </w:tcPr>
          <w:p w14:paraId="722D9866"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eastAsia="Times New Roman" w:hAnsi="Cambria" w:cs="Times New Roman"/>
                <w:i/>
                <w:iCs/>
                <w:sz w:val="16"/>
                <w:szCs w:val="16"/>
              </w:rPr>
            </w:pPr>
            <w:r w:rsidRPr="001C5041">
              <w:rPr>
                <w:rFonts w:ascii="Cambria" w:eastAsia="Times New Roman" w:hAnsi="Cambria" w:cs="Times New Roman"/>
                <w:i/>
                <w:iCs/>
                <w:sz w:val="16"/>
                <w:szCs w:val="16"/>
              </w:rPr>
              <w:t>Sand:Soil</w:t>
            </w:r>
          </w:p>
        </w:tc>
        <w:tc>
          <w:tcPr>
            <w:tcW w:w="822" w:type="dxa"/>
            <w:tcBorders>
              <w:top w:val="nil"/>
              <w:left w:val="nil"/>
              <w:bottom w:val="nil"/>
              <w:right w:val="nil"/>
            </w:tcBorders>
            <w:shd w:val="clear" w:color="000000" w:fill="FFFFFF"/>
            <w:noWrap/>
            <w:vAlign w:val="center"/>
            <w:hideMark/>
          </w:tcPr>
          <w:p w14:paraId="5A3C8514"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Times New Roman"/>
                <w:sz w:val="16"/>
                <w:szCs w:val="16"/>
              </w:rPr>
            </w:pPr>
            <w:r w:rsidRPr="001C5041">
              <w:rPr>
                <w:rFonts w:eastAsia="Times New Roman" w:cs="Times New Roman"/>
                <w:sz w:val="16"/>
                <w:szCs w:val="16"/>
              </w:rPr>
              <w:t>27</w:t>
            </w:r>
          </w:p>
        </w:tc>
        <w:tc>
          <w:tcPr>
            <w:tcW w:w="781" w:type="dxa"/>
            <w:tcBorders>
              <w:top w:val="nil"/>
              <w:left w:val="nil"/>
              <w:bottom w:val="nil"/>
              <w:right w:val="nil"/>
            </w:tcBorders>
            <w:shd w:val="clear" w:color="000000" w:fill="FFFFFF"/>
            <w:noWrap/>
            <w:vAlign w:val="center"/>
            <w:hideMark/>
          </w:tcPr>
          <w:p w14:paraId="5ECA2C33"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13973</w:t>
            </w:r>
          </w:p>
        </w:tc>
        <w:tc>
          <w:tcPr>
            <w:tcW w:w="857" w:type="dxa"/>
            <w:tcBorders>
              <w:top w:val="nil"/>
              <w:left w:val="nil"/>
              <w:bottom w:val="nil"/>
              <w:right w:val="nil"/>
            </w:tcBorders>
            <w:shd w:val="clear" w:color="000000" w:fill="FFFFFF"/>
            <w:noWrap/>
            <w:vAlign w:val="center"/>
            <w:hideMark/>
          </w:tcPr>
          <w:p w14:paraId="0D0E9BDD"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0.0037</w:t>
            </w:r>
          </w:p>
        </w:tc>
        <w:tc>
          <w:tcPr>
            <w:tcW w:w="353" w:type="dxa"/>
            <w:tcBorders>
              <w:top w:val="nil"/>
              <w:left w:val="nil"/>
              <w:bottom w:val="nil"/>
              <w:right w:val="nil"/>
            </w:tcBorders>
            <w:shd w:val="clear" w:color="000000" w:fill="FFFFFF"/>
            <w:noWrap/>
            <w:vAlign w:val="center"/>
            <w:hideMark/>
          </w:tcPr>
          <w:p w14:paraId="047E2004"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w:t>
            </w:r>
          </w:p>
        </w:tc>
        <w:tc>
          <w:tcPr>
            <w:tcW w:w="265" w:type="dxa"/>
            <w:tcBorders>
              <w:top w:val="nil"/>
              <w:left w:val="nil"/>
              <w:bottom w:val="nil"/>
              <w:right w:val="nil"/>
            </w:tcBorders>
            <w:shd w:val="clear" w:color="000000" w:fill="FFFFFF"/>
            <w:noWrap/>
            <w:vAlign w:val="center"/>
            <w:hideMark/>
          </w:tcPr>
          <w:p w14:paraId="759EEBCD"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760" w:type="dxa"/>
            <w:tcBorders>
              <w:top w:val="nil"/>
              <w:left w:val="nil"/>
              <w:bottom w:val="nil"/>
              <w:right w:val="nil"/>
            </w:tcBorders>
            <w:shd w:val="clear" w:color="000000" w:fill="FFFFFF"/>
            <w:noWrap/>
            <w:vAlign w:val="center"/>
            <w:hideMark/>
          </w:tcPr>
          <w:p w14:paraId="6CC91A12"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13693</w:t>
            </w:r>
          </w:p>
        </w:tc>
        <w:tc>
          <w:tcPr>
            <w:tcW w:w="708" w:type="dxa"/>
            <w:tcBorders>
              <w:top w:val="nil"/>
              <w:left w:val="nil"/>
              <w:bottom w:val="nil"/>
              <w:right w:val="nil"/>
            </w:tcBorders>
            <w:shd w:val="clear" w:color="000000" w:fill="FFFFFF"/>
            <w:noWrap/>
            <w:vAlign w:val="center"/>
            <w:hideMark/>
          </w:tcPr>
          <w:p w14:paraId="79FA1574"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0.0029</w:t>
            </w:r>
          </w:p>
        </w:tc>
        <w:tc>
          <w:tcPr>
            <w:tcW w:w="353" w:type="dxa"/>
            <w:tcBorders>
              <w:top w:val="nil"/>
              <w:left w:val="nil"/>
              <w:bottom w:val="nil"/>
              <w:right w:val="nil"/>
            </w:tcBorders>
            <w:shd w:val="clear" w:color="000000" w:fill="FFFFFF"/>
            <w:noWrap/>
            <w:vAlign w:val="center"/>
            <w:hideMark/>
          </w:tcPr>
          <w:p w14:paraId="0A15F928"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w:t>
            </w:r>
          </w:p>
        </w:tc>
        <w:tc>
          <w:tcPr>
            <w:tcW w:w="760" w:type="dxa"/>
            <w:tcBorders>
              <w:top w:val="nil"/>
              <w:left w:val="nil"/>
              <w:bottom w:val="nil"/>
              <w:right w:val="nil"/>
            </w:tcBorders>
            <w:shd w:val="clear" w:color="000000" w:fill="FFFFFF"/>
            <w:noWrap/>
            <w:vAlign w:val="center"/>
            <w:hideMark/>
          </w:tcPr>
          <w:p w14:paraId="08042A4F"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0.279</w:t>
            </w:r>
          </w:p>
        </w:tc>
        <w:tc>
          <w:tcPr>
            <w:tcW w:w="708" w:type="dxa"/>
            <w:tcBorders>
              <w:top w:val="nil"/>
              <w:left w:val="nil"/>
              <w:bottom w:val="nil"/>
              <w:right w:val="nil"/>
            </w:tcBorders>
            <w:shd w:val="clear" w:color="000000" w:fill="FFFFFF"/>
            <w:noWrap/>
            <w:vAlign w:val="center"/>
            <w:hideMark/>
          </w:tcPr>
          <w:p w14:paraId="22D7C3B6"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0.5920</w:t>
            </w:r>
          </w:p>
        </w:tc>
        <w:tc>
          <w:tcPr>
            <w:tcW w:w="293" w:type="dxa"/>
            <w:tcBorders>
              <w:top w:val="nil"/>
              <w:left w:val="nil"/>
              <w:bottom w:val="nil"/>
              <w:right w:val="nil"/>
            </w:tcBorders>
            <w:shd w:val="clear" w:color="000000" w:fill="FFFFFF"/>
            <w:noWrap/>
            <w:vAlign w:val="center"/>
            <w:hideMark/>
          </w:tcPr>
          <w:p w14:paraId="4A7BDAA2"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sz w:val="18"/>
                <w:szCs w:val="18"/>
              </w:rPr>
            </w:pPr>
            <w:r w:rsidRPr="001C5041">
              <w:rPr>
                <w:rFonts w:ascii="Cambria" w:eastAsia="Times New Roman" w:hAnsi="Cambria" w:cs="Times New Roman"/>
                <w:sz w:val="18"/>
                <w:szCs w:val="18"/>
              </w:rPr>
              <w:t> </w:t>
            </w:r>
          </w:p>
        </w:tc>
      </w:tr>
      <w:tr w:rsidR="001C5041" w:rsidRPr="001C5041" w14:paraId="4374824C" w14:textId="77777777" w:rsidTr="00B2646B">
        <w:trPr>
          <w:trHeight w:val="90"/>
          <w:jc w:val="center"/>
        </w:trPr>
        <w:tc>
          <w:tcPr>
            <w:tcW w:w="1520" w:type="dxa"/>
            <w:tcBorders>
              <w:top w:val="nil"/>
              <w:left w:val="nil"/>
              <w:bottom w:val="nil"/>
              <w:right w:val="nil"/>
            </w:tcBorders>
            <w:shd w:val="clear" w:color="000000" w:fill="FFFFFF"/>
            <w:noWrap/>
            <w:vAlign w:val="center"/>
            <w:hideMark/>
          </w:tcPr>
          <w:p w14:paraId="0C4EF992"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eastAsia="Times New Roman" w:hAnsi="Cambria" w:cs="Times New Roman"/>
                <w:i/>
                <w:iCs/>
                <w:sz w:val="16"/>
                <w:szCs w:val="16"/>
              </w:rPr>
            </w:pPr>
            <w:r w:rsidRPr="001C5041">
              <w:rPr>
                <w:rFonts w:ascii="Cambria" w:eastAsia="Times New Roman" w:hAnsi="Cambria" w:cs="Times New Roman"/>
                <w:i/>
                <w:iCs/>
                <w:sz w:val="16"/>
                <w:szCs w:val="16"/>
              </w:rPr>
              <w:t> </w:t>
            </w:r>
          </w:p>
        </w:tc>
        <w:tc>
          <w:tcPr>
            <w:tcW w:w="822" w:type="dxa"/>
            <w:tcBorders>
              <w:top w:val="nil"/>
              <w:left w:val="nil"/>
              <w:bottom w:val="nil"/>
              <w:right w:val="nil"/>
            </w:tcBorders>
            <w:shd w:val="clear" w:color="000000" w:fill="FFFFFF"/>
            <w:noWrap/>
            <w:vAlign w:val="center"/>
            <w:hideMark/>
          </w:tcPr>
          <w:p w14:paraId="4CC909BD"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781" w:type="dxa"/>
            <w:tcBorders>
              <w:top w:val="nil"/>
              <w:left w:val="nil"/>
              <w:bottom w:val="nil"/>
              <w:right w:val="nil"/>
            </w:tcBorders>
            <w:shd w:val="clear" w:color="000000" w:fill="FFFFFF"/>
            <w:noWrap/>
            <w:vAlign w:val="center"/>
            <w:hideMark/>
          </w:tcPr>
          <w:p w14:paraId="57877E3C"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857" w:type="dxa"/>
            <w:tcBorders>
              <w:top w:val="nil"/>
              <w:left w:val="nil"/>
              <w:bottom w:val="nil"/>
              <w:right w:val="nil"/>
            </w:tcBorders>
            <w:shd w:val="clear" w:color="000000" w:fill="FFFFFF"/>
            <w:noWrap/>
            <w:vAlign w:val="center"/>
            <w:hideMark/>
          </w:tcPr>
          <w:p w14:paraId="0402B731"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353" w:type="dxa"/>
            <w:tcBorders>
              <w:top w:val="nil"/>
              <w:left w:val="nil"/>
              <w:bottom w:val="nil"/>
              <w:right w:val="nil"/>
            </w:tcBorders>
            <w:shd w:val="clear" w:color="000000" w:fill="FFFFFF"/>
            <w:noWrap/>
            <w:vAlign w:val="center"/>
            <w:hideMark/>
          </w:tcPr>
          <w:p w14:paraId="773A7BC9"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265" w:type="dxa"/>
            <w:tcBorders>
              <w:top w:val="nil"/>
              <w:left w:val="nil"/>
              <w:bottom w:val="nil"/>
              <w:right w:val="nil"/>
            </w:tcBorders>
            <w:shd w:val="clear" w:color="000000" w:fill="FFFFFF"/>
            <w:noWrap/>
            <w:vAlign w:val="center"/>
            <w:hideMark/>
          </w:tcPr>
          <w:p w14:paraId="19ABB593"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760" w:type="dxa"/>
            <w:tcBorders>
              <w:top w:val="nil"/>
              <w:left w:val="nil"/>
              <w:bottom w:val="nil"/>
              <w:right w:val="nil"/>
            </w:tcBorders>
            <w:shd w:val="clear" w:color="000000" w:fill="FFFFFF"/>
            <w:noWrap/>
            <w:vAlign w:val="center"/>
            <w:hideMark/>
          </w:tcPr>
          <w:p w14:paraId="6B617D13"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708" w:type="dxa"/>
            <w:tcBorders>
              <w:top w:val="nil"/>
              <w:left w:val="nil"/>
              <w:bottom w:val="nil"/>
              <w:right w:val="nil"/>
            </w:tcBorders>
            <w:shd w:val="clear" w:color="000000" w:fill="FFFFFF"/>
            <w:noWrap/>
            <w:vAlign w:val="center"/>
            <w:hideMark/>
          </w:tcPr>
          <w:p w14:paraId="16083658"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353" w:type="dxa"/>
            <w:tcBorders>
              <w:top w:val="nil"/>
              <w:left w:val="nil"/>
              <w:bottom w:val="nil"/>
              <w:right w:val="nil"/>
            </w:tcBorders>
            <w:shd w:val="clear" w:color="000000" w:fill="FFFFFF"/>
            <w:noWrap/>
            <w:vAlign w:val="center"/>
            <w:hideMark/>
          </w:tcPr>
          <w:p w14:paraId="54198BEF"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760" w:type="dxa"/>
            <w:tcBorders>
              <w:top w:val="nil"/>
              <w:left w:val="nil"/>
              <w:bottom w:val="nil"/>
              <w:right w:val="nil"/>
            </w:tcBorders>
            <w:shd w:val="clear" w:color="000000" w:fill="FFFFFF"/>
            <w:noWrap/>
            <w:vAlign w:val="center"/>
            <w:hideMark/>
          </w:tcPr>
          <w:p w14:paraId="731A31FA"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708" w:type="dxa"/>
            <w:tcBorders>
              <w:top w:val="nil"/>
              <w:left w:val="nil"/>
              <w:bottom w:val="nil"/>
              <w:right w:val="nil"/>
            </w:tcBorders>
            <w:shd w:val="clear" w:color="000000" w:fill="FFFFFF"/>
            <w:noWrap/>
            <w:vAlign w:val="center"/>
            <w:hideMark/>
          </w:tcPr>
          <w:p w14:paraId="4EFC4213"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293" w:type="dxa"/>
            <w:tcBorders>
              <w:top w:val="nil"/>
              <w:left w:val="nil"/>
              <w:bottom w:val="nil"/>
              <w:right w:val="nil"/>
            </w:tcBorders>
            <w:shd w:val="clear" w:color="000000" w:fill="FFFFFF"/>
            <w:noWrap/>
            <w:vAlign w:val="center"/>
            <w:hideMark/>
          </w:tcPr>
          <w:p w14:paraId="3E7FAF4A"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sz w:val="18"/>
                <w:szCs w:val="18"/>
              </w:rPr>
            </w:pPr>
            <w:r w:rsidRPr="001C5041">
              <w:rPr>
                <w:rFonts w:ascii="Cambria" w:eastAsia="Times New Roman" w:hAnsi="Cambria" w:cs="Times New Roman"/>
                <w:sz w:val="18"/>
                <w:szCs w:val="18"/>
              </w:rPr>
              <w:t> </w:t>
            </w:r>
          </w:p>
        </w:tc>
      </w:tr>
      <w:tr w:rsidR="001C5041" w:rsidRPr="001C5041" w14:paraId="0CE1BC9F" w14:textId="77777777" w:rsidTr="00B2646B">
        <w:trPr>
          <w:trHeight w:val="300"/>
          <w:jc w:val="center"/>
        </w:trPr>
        <w:tc>
          <w:tcPr>
            <w:tcW w:w="1520" w:type="dxa"/>
            <w:tcBorders>
              <w:top w:val="nil"/>
              <w:left w:val="nil"/>
              <w:bottom w:val="nil"/>
              <w:right w:val="nil"/>
            </w:tcBorders>
            <w:shd w:val="clear" w:color="000000" w:fill="FFFFFF"/>
            <w:noWrap/>
            <w:vAlign w:val="center"/>
            <w:hideMark/>
          </w:tcPr>
          <w:p w14:paraId="67B78455"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eastAsia="Times New Roman" w:hAnsi="Cambria" w:cs="Times New Roman"/>
                <w:i/>
                <w:iCs/>
                <w:sz w:val="16"/>
                <w:szCs w:val="16"/>
              </w:rPr>
            </w:pPr>
            <w:r w:rsidRPr="001C5041">
              <w:rPr>
                <w:rFonts w:ascii="Cambria" w:eastAsia="Times New Roman" w:hAnsi="Cambria" w:cs="Times New Roman"/>
                <w:i/>
                <w:iCs/>
                <w:sz w:val="16"/>
                <w:szCs w:val="16"/>
              </w:rPr>
              <w:t> </w:t>
            </w:r>
          </w:p>
        </w:tc>
        <w:tc>
          <w:tcPr>
            <w:tcW w:w="2813" w:type="dxa"/>
            <w:gridSpan w:val="4"/>
            <w:tcBorders>
              <w:top w:val="nil"/>
              <w:left w:val="nil"/>
              <w:bottom w:val="nil"/>
              <w:right w:val="nil"/>
            </w:tcBorders>
            <w:shd w:val="clear" w:color="000000" w:fill="FFFFFF"/>
            <w:noWrap/>
            <w:vAlign w:val="center"/>
            <w:hideMark/>
          </w:tcPr>
          <w:p w14:paraId="065CB235"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i/>
                <w:iCs/>
                <w:color w:val="auto"/>
                <w:sz w:val="16"/>
                <w:szCs w:val="16"/>
              </w:rPr>
            </w:pPr>
            <w:r w:rsidRPr="001C5041">
              <w:rPr>
                <w:rFonts w:ascii="Cambria" w:eastAsia="Times New Roman" w:hAnsi="Cambria" w:cs="Times New Roman"/>
                <w:i/>
                <w:iCs/>
                <w:color w:val="auto"/>
                <w:sz w:val="16"/>
                <w:szCs w:val="16"/>
              </w:rPr>
              <w:t xml:space="preserve"> Maximum height groups (H</w:t>
            </w:r>
            <w:r w:rsidRPr="001C5041">
              <w:rPr>
                <w:rFonts w:ascii="Cambria" w:eastAsia="Times New Roman" w:hAnsi="Cambria" w:cs="Times New Roman"/>
                <w:i/>
                <w:iCs/>
                <w:color w:val="auto"/>
                <w:sz w:val="16"/>
                <w:szCs w:val="16"/>
                <w:vertAlign w:val="subscript"/>
              </w:rPr>
              <w:t>max</w:t>
            </w:r>
            <w:r w:rsidRPr="001C5041">
              <w:rPr>
                <w:rFonts w:ascii="Cambria" w:eastAsia="Times New Roman" w:hAnsi="Cambria" w:cs="Times New Roman"/>
                <w:i/>
                <w:iCs/>
                <w:color w:val="auto"/>
                <w:sz w:val="16"/>
                <w:szCs w:val="16"/>
              </w:rPr>
              <w:t>)</w:t>
            </w:r>
          </w:p>
        </w:tc>
        <w:tc>
          <w:tcPr>
            <w:tcW w:w="265" w:type="dxa"/>
            <w:tcBorders>
              <w:top w:val="nil"/>
              <w:left w:val="nil"/>
              <w:bottom w:val="nil"/>
              <w:right w:val="nil"/>
            </w:tcBorders>
            <w:shd w:val="clear" w:color="000000" w:fill="FFFFFF"/>
            <w:noWrap/>
            <w:vAlign w:val="center"/>
            <w:hideMark/>
          </w:tcPr>
          <w:p w14:paraId="2D2D625D"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i/>
                <w:iCs/>
                <w:color w:val="auto"/>
                <w:sz w:val="16"/>
                <w:szCs w:val="16"/>
              </w:rPr>
            </w:pPr>
            <w:r w:rsidRPr="001C5041">
              <w:rPr>
                <w:rFonts w:ascii="Cambria" w:eastAsia="Times New Roman" w:hAnsi="Cambria" w:cs="Times New Roman"/>
                <w:i/>
                <w:iCs/>
                <w:color w:val="auto"/>
                <w:sz w:val="16"/>
                <w:szCs w:val="16"/>
              </w:rPr>
              <w:t> </w:t>
            </w:r>
          </w:p>
        </w:tc>
        <w:tc>
          <w:tcPr>
            <w:tcW w:w="1468" w:type="dxa"/>
            <w:gridSpan w:val="2"/>
            <w:tcBorders>
              <w:top w:val="nil"/>
              <w:left w:val="nil"/>
              <w:bottom w:val="nil"/>
              <w:right w:val="nil"/>
            </w:tcBorders>
            <w:shd w:val="clear" w:color="000000" w:fill="FFFFFF"/>
            <w:noWrap/>
            <w:vAlign w:val="center"/>
            <w:hideMark/>
          </w:tcPr>
          <w:p w14:paraId="41234BB9"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xml:space="preserve">Hmax </w:t>
            </w:r>
            <w:r w:rsidRPr="001C5041">
              <w:rPr>
                <w:rFonts w:eastAsia="Times New Roman" w:cs="Times New Roman"/>
                <w:color w:val="auto"/>
                <w:sz w:val="16"/>
                <w:szCs w:val="16"/>
              </w:rPr>
              <w:t>≤</w:t>
            </w:r>
            <w:r w:rsidRPr="001C5041">
              <w:rPr>
                <w:rFonts w:ascii="Cambria" w:eastAsia="Times New Roman" w:hAnsi="Cambria" w:cs="Times New Roman"/>
                <w:color w:val="auto"/>
                <w:sz w:val="16"/>
                <w:szCs w:val="16"/>
              </w:rPr>
              <w:t xml:space="preserve"> 14m</w:t>
            </w:r>
          </w:p>
        </w:tc>
        <w:tc>
          <w:tcPr>
            <w:tcW w:w="353" w:type="dxa"/>
            <w:tcBorders>
              <w:top w:val="nil"/>
              <w:left w:val="nil"/>
              <w:bottom w:val="nil"/>
              <w:right w:val="nil"/>
            </w:tcBorders>
            <w:shd w:val="clear" w:color="000000" w:fill="FFFFFF"/>
            <w:noWrap/>
            <w:vAlign w:val="center"/>
            <w:hideMark/>
          </w:tcPr>
          <w:p w14:paraId="021CCC0E"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1468" w:type="dxa"/>
            <w:gridSpan w:val="2"/>
            <w:tcBorders>
              <w:top w:val="nil"/>
              <w:left w:val="nil"/>
              <w:bottom w:val="nil"/>
              <w:right w:val="nil"/>
            </w:tcBorders>
            <w:shd w:val="clear" w:color="000000" w:fill="FFFFFF"/>
            <w:noWrap/>
            <w:vAlign w:val="center"/>
            <w:hideMark/>
          </w:tcPr>
          <w:p w14:paraId="25CCF261"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Hmax &gt; 14m</w:t>
            </w:r>
          </w:p>
        </w:tc>
        <w:tc>
          <w:tcPr>
            <w:tcW w:w="293" w:type="dxa"/>
            <w:tcBorders>
              <w:top w:val="nil"/>
              <w:left w:val="nil"/>
              <w:bottom w:val="nil"/>
              <w:right w:val="nil"/>
            </w:tcBorders>
            <w:shd w:val="clear" w:color="000000" w:fill="FFFFFF"/>
            <w:noWrap/>
            <w:vAlign w:val="center"/>
            <w:hideMark/>
          </w:tcPr>
          <w:p w14:paraId="427B3D0C"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sz w:val="18"/>
                <w:szCs w:val="18"/>
              </w:rPr>
            </w:pPr>
            <w:r w:rsidRPr="001C5041">
              <w:rPr>
                <w:rFonts w:ascii="Cambria" w:eastAsia="Times New Roman" w:hAnsi="Cambria" w:cs="Times New Roman"/>
                <w:sz w:val="18"/>
                <w:szCs w:val="18"/>
              </w:rPr>
              <w:t> </w:t>
            </w:r>
          </w:p>
        </w:tc>
      </w:tr>
      <w:tr w:rsidR="001C5041" w:rsidRPr="001C5041" w14:paraId="4AB9B0C9" w14:textId="77777777" w:rsidTr="00B2646B">
        <w:trPr>
          <w:trHeight w:val="300"/>
          <w:jc w:val="center"/>
        </w:trPr>
        <w:tc>
          <w:tcPr>
            <w:tcW w:w="1520" w:type="dxa"/>
            <w:tcBorders>
              <w:top w:val="nil"/>
              <w:left w:val="nil"/>
              <w:bottom w:val="nil"/>
              <w:right w:val="nil"/>
            </w:tcBorders>
            <w:shd w:val="clear" w:color="000000" w:fill="FFFFFF"/>
            <w:noWrap/>
            <w:vAlign w:val="center"/>
            <w:hideMark/>
          </w:tcPr>
          <w:p w14:paraId="4B0DC946"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eastAsia="Times New Roman" w:hAnsi="Cambria" w:cs="Times New Roman"/>
                <w:i/>
                <w:iCs/>
                <w:sz w:val="16"/>
                <w:szCs w:val="16"/>
              </w:rPr>
            </w:pPr>
            <w:r w:rsidRPr="001C5041">
              <w:rPr>
                <w:rFonts w:ascii="Cambria" w:eastAsia="Times New Roman" w:hAnsi="Cambria" w:cs="Times New Roman"/>
                <w:i/>
                <w:iCs/>
                <w:sz w:val="16"/>
                <w:szCs w:val="16"/>
              </w:rPr>
              <w:t> </w:t>
            </w:r>
          </w:p>
        </w:tc>
        <w:tc>
          <w:tcPr>
            <w:tcW w:w="822" w:type="dxa"/>
            <w:tcBorders>
              <w:top w:val="nil"/>
              <w:left w:val="nil"/>
              <w:bottom w:val="nil"/>
              <w:right w:val="nil"/>
            </w:tcBorders>
            <w:shd w:val="clear" w:color="000000" w:fill="FFFFFF"/>
            <w:noWrap/>
            <w:vAlign w:val="center"/>
            <w:hideMark/>
          </w:tcPr>
          <w:p w14:paraId="6AEF4E08" w14:textId="0884E51D"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Res.</w:t>
            </w:r>
            <w:r w:rsidR="00C16031">
              <w:rPr>
                <w:rFonts w:ascii="Cambria" w:eastAsia="Times New Roman" w:hAnsi="Cambria" w:cs="Times New Roman"/>
                <w:color w:val="auto"/>
                <w:sz w:val="16"/>
                <w:szCs w:val="16"/>
              </w:rPr>
              <w:t xml:space="preserve"> d</w:t>
            </w:r>
            <w:r w:rsidRPr="001C5041">
              <w:rPr>
                <w:rFonts w:ascii="Cambria" w:eastAsia="Times New Roman" w:hAnsi="Cambria" w:cs="Times New Roman"/>
                <w:color w:val="auto"/>
                <w:sz w:val="16"/>
                <w:szCs w:val="16"/>
              </w:rPr>
              <w:t>f</w:t>
            </w:r>
          </w:p>
        </w:tc>
        <w:tc>
          <w:tcPr>
            <w:tcW w:w="781" w:type="dxa"/>
            <w:tcBorders>
              <w:top w:val="nil"/>
              <w:left w:val="nil"/>
              <w:bottom w:val="nil"/>
              <w:right w:val="nil"/>
            </w:tcBorders>
            <w:shd w:val="clear" w:color="000000" w:fill="FFFFFF"/>
            <w:noWrap/>
            <w:vAlign w:val="center"/>
            <w:hideMark/>
          </w:tcPr>
          <w:p w14:paraId="79916D4F" w14:textId="6301EB3D"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F</w:t>
            </w:r>
          </w:p>
        </w:tc>
        <w:tc>
          <w:tcPr>
            <w:tcW w:w="857" w:type="dxa"/>
            <w:tcBorders>
              <w:top w:val="nil"/>
              <w:left w:val="nil"/>
              <w:bottom w:val="nil"/>
              <w:right w:val="nil"/>
            </w:tcBorders>
            <w:shd w:val="clear" w:color="000000" w:fill="FFFFFF"/>
            <w:noWrap/>
            <w:vAlign w:val="center"/>
            <w:hideMark/>
          </w:tcPr>
          <w:p w14:paraId="5B1B58D3"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Pr(&gt;F)</w:t>
            </w:r>
          </w:p>
        </w:tc>
        <w:tc>
          <w:tcPr>
            <w:tcW w:w="353" w:type="dxa"/>
            <w:tcBorders>
              <w:top w:val="nil"/>
              <w:left w:val="nil"/>
              <w:bottom w:val="nil"/>
              <w:right w:val="nil"/>
            </w:tcBorders>
            <w:shd w:val="clear" w:color="000000" w:fill="FFFFFF"/>
            <w:noWrap/>
            <w:vAlign w:val="center"/>
            <w:hideMark/>
          </w:tcPr>
          <w:p w14:paraId="432B6A7F"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265" w:type="dxa"/>
            <w:tcBorders>
              <w:top w:val="nil"/>
              <w:left w:val="nil"/>
              <w:bottom w:val="nil"/>
              <w:right w:val="nil"/>
            </w:tcBorders>
            <w:shd w:val="clear" w:color="000000" w:fill="FFFFFF"/>
            <w:noWrap/>
            <w:vAlign w:val="center"/>
            <w:hideMark/>
          </w:tcPr>
          <w:p w14:paraId="73A16DCA"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760" w:type="dxa"/>
            <w:tcBorders>
              <w:top w:val="nil"/>
              <w:left w:val="nil"/>
              <w:bottom w:val="nil"/>
              <w:right w:val="nil"/>
            </w:tcBorders>
            <w:shd w:val="clear" w:color="000000" w:fill="FFFFFF"/>
            <w:noWrap/>
            <w:vAlign w:val="center"/>
            <w:hideMark/>
          </w:tcPr>
          <w:p w14:paraId="12FDCE8E" w14:textId="5E52B3C8"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F</w:t>
            </w:r>
          </w:p>
        </w:tc>
        <w:tc>
          <w:tcPr>
            <w:tcW w:w="708" w:type="dxa"/>
            <w:tcBorders>
              <w:top w:val="nil"/>
              <w:left w:val="nil"/>
              <w:bottom w:val="nil"/>
              <w:right w:val="nil"/>
            </w:tcBorders>
            <w:shd w:val="clear" w:color="000000" w:fill="FFFFFF"/>
            <w:noWrap/>
            <w:vAlign w:val="center"/>
            <w:hideMark/>
          </w:tcPr>
          <w:p w14:paraId="2DE9CDEB"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Pr(&gt;F)</w:t>
            </w:r>
          </w:p>
        </w:tc>
        <w:tc>
          <w:tcPr>
            <w:tcW w:w="353" w:type="dxa"/>
            <w:tcBorders>
              <w:top w:val="nil"/>
              <w:left w:val="nil"/>
              <w:bottom w:val="nil"/>
              <w:right w:val="nil"/>
            </w:tcBorders>
            <w:shd w:val="clear" w:color="000000" w:fill="FFFFFF"/>
            <w:noWrap/>
            <w:vAlign w:val="center"/>
            <w:hideMark/>
          </w:tcPr>
          <w:p w14:paraId="7D8D69EA"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760" w:type="dxa"/>
            <w:tcBorders>
              <w:top w:val="nil"/>
              <w:left w:val="nil"/>
              <w:bottom w:val="nil"/>
              <w:right w:val="nil"/>
            </w:tcBorders>
            <w:shd w:val="clear" w:color="000000" w:fill="FFFFFF"/>
            <w:noWrap/>
            <w:vAlign w:val="center"/>
            <w:hideMark/>
          </w:tcPr>
          <w:p w14:paraId="35252308" w14:textId="011FB9D0"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F</w:t>
            </w:r>
          </w:p>
        </w:tc>
        <w:tc>
          <w:tcPr>
            <w:tcW w:w="708" w:type="dxa"/>
            <w:tcBorders>
              <w:top w:val="nil"/>
              <w:left w:val="nil"/>
              <w:bottom w:val="nil"/>
              <w:right w:val="nil"/>
            </w:tcBorders>
            <w:shd w:val="clear" w:color="000000" w:fill="FFFFFF"/>
            <w:noWrap/>
            <w:vAlign w:val="center"/>
            <w:hideMark/>
          </w:tcPr>
          <w:p w14:paraId="6CBDA878"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Pr(&gt;F)</w:t>
            </w:r>
          </w:p>
        </w:tc>
        <w:tc>
          <w:tcPr>
            <w:tcW w:w="293" w:type="dxa"/>
            <w:tcBorders>
              <w:top w:val="nil"/>
              <w:left w:val="nil"/>
              <w:bottom w:val="nil"/>
              <w:right w:val="nil"/>
            </w:tcBorders>
            <w:shd w:val="clear" w:color="000000" w:fill="FFFFFF"/>
            <w:noWrap/>
            <w:vAlign w:val="center"/>
            <w:hideMark/>
          </w:tcPr>
          <w:p w14:paraId="42F4F722"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sz w:val="18"/>
                <w:szCs w:val="18"/>
              </w:rPr>
            </w:pPr>
            <w:r w:rsidRPr="001C5041">
              <w:rPr>
                <w:rFonts w:ascii="Cambria" w:eastAsia="Times New Roman" w:hAnsi="Cambria" w:cs="Times New Roman"/>
                <w:sz w:val="18"/>
                <w:szCs w:val="18"/>
              </w:rPr>
              <w:t> </w:t>
            </w:r>
          </w:p>
        </w:tc>
      </w:tr>
      <w:tr w:rsidR="001C5041" w:rsidRPr="001C5041" w14:paraId="744844E3" w14:textId="77777777" w:rsidTr="00B2646B">
        <w:trPr>
          <w:trHeight w:val="300"/>
          <w:jc w:val="center"/>
        </w:trPr>
        <w:tc>
          <w:tcPr>
            <w:tcW w:w="1520" w:type="dxa"/>
            <w:tcBorders>
              <w:top w:val="nil"/>
              <w:left w:val="nil"/>
              <w:bottom w:val="nil"/>
              <w:right w:val="nil"/>
            </w:tcBorders>
            <w:shd w:val="clear" w:color="000000" w:fill="FFFFFF"/>
            <w:noWrap/>
            <w:vAlign w:val="center"/>
            <w:hideMark/>
          </w:tcPr>
          <w:p w14:paraId="50BFFC44"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eastAsia="Times New Roman" w:hAnsi="Cambria" w:cs="Times New Roman"/>
                <w:i/>
                <w:iCs/>
                <w:sz w:val="16"/>
                <w:szCs w:val="16"/>
              </w:rPr>
            </w:pPr>
            <w:r w:rsidRPr="001C5041">
              <w:rPr>
                <w:rFonts w:ascii="Cambria" w:eastAsia="Times New Roman" w:hAnsi="Cambria" w:cs="Times New Roman"/>
                <w:i/>
                <w:iCs/>
                <w:sz w:val="16"/>
                <w:szCs w:val="16"/>
              </w:rPr>
              <w:t>Sand %</w:t>
            </w:r>
          </w:p>
        </w:tc>
        <w:tc>
          <w:tcPr>
            <w:tcW w:w="822" w:type="dxa"/>
            <w:tcBorders>
              <w:top w:val="nil"/>
              <w:left w:val="nil"/>
              <w:bottom w:val="nil"/>
              <w:right w:val="nil"/>
            </w:tcBorders>
            <w:shd w:val="clear" w:color="000000" w:fill="FFFFFF"/>
            <w:noWrap/>
            <w:vAlign w:val="center"/>
            <w:hideMark/>
          </w:tcPr>
          <w:p w14:paraId="703D9018"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Times New Roman"/>
                <w:sz w:val="16"/>
                <w:szCs w:val="16"/>
              </w:rPr>
            </w:pPr>
            <w:r w:rsidRPr="001C5041">
              <w:rPr>
                <w:rFonts w:eastAsia="Times New Roman" w:cs="Times New Roman"/>
                <w:sz w:val="16"/>
                <w:szCs w:val="16"/>
              </w:rPr>
              <w:t>30</w:t>
            </w:r>
          </w:p>
        </w:tc>
        <w:tc>
          <w:tcPr>
            <w:tcW w:w="781" w:type="dxa"/>
            <w:tcBorders>
              <w:top w:val="nil"/>
              <w:left w:val="nil"/>
              <w:bottom w:val="nil"/>
              <w:right w:val="nil"/>
            </w:tcBorders>
            <w:shd w:val="clear" w:color="000000" w:fill="FFFFFF"/>
            <w:noWrap/>
            <w:vAlign w:val="center"/>
            <w:hideMark/>
          </w:tcPr>
          <w:p w14:paraId="04CDEF4B"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11299</w:t>
            </w:r>
          </w:p>
        </w:tc>
        <w:tc>
          <w:tcPr>
            <w:tcW w:w="857" w:type="dxa"/>
            <w:tcBorders>
              <w:top w:val="nil"/>
              <w:left w:val="nil"/>
              <w:bottom w:val="nil"/>
              <w:right w:val="nil"/>
            </w:tcBorders>
            <w:shd w:val="clear" w:color="000000" w:fill="FFFFFF"/>
            <w:noWrap/>
            <w:vAlign w:val="center"/>
            <w:hideMark/>
          </w:tcPr>
          <w:p w14:paraId="6B61CC69"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0.0153</w:t>
            </w:r>
          </w:p>
        </w:tc>
        <w:tc>
          <w:tcPr>
            <w:tcW w:w="353" w:type="dxa"/>
            <w:tcBorders>
              <w:top w:val="nil"/>
              <w:left w:val="nil"/>
              <w:bottom w:val="nil"/>
              <w:right w:val="nil"/>
            </w:tcBorders>
            <w:shd w:val="clear" w:color="000000" w:fill="FFFFFF"/>
            <w:noWrap/>
            <w:vAlign w:val="center"/>
            <w:hideMark/>
          </w:tcPr>
          <w:p w14:paraId="21EBD2E1"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w:t>
            </w:r>
          </w:p>
        </w:tc>
        <w:tc>
          <w:tcPr>
            <w:tcW w:w="265" w:type="dxa"/>
            <w:tcBorders>
              <w:top w:val="nil"/>
              <w:left w:val="nil"/>
              <w:bottom w:val="nil"/>
              <w:right w:val="nil"/>
            </w:tcBorders>
            <w:shd w:val="clear" w:color="000000" w:fill="FFFFFF"/>
            <w:noWrap/>
            <w:vAlign w:val="center"/>
            <w:hideMark/>
          </w:tcPr>
          <w:p w14:paraId="6F05C998"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760" w:type="dxa"/>
            <w:tcBorders>
              <w:top w:val="nil"/>
              <w:left w:val="nil"/>
              <w:bottom w:val="nil"/>
              <w:right w:val="nil"/>
            </w:tcBorders>
            <w:shd w:val="clear" w:color="000000" w:fill="FFFFFF"/>
            <w:noWrap/>
            <w:vAlign w:val="center"/>
            <w:hideMark/>
          </w:tcPr>
          <w:p w14:paraId="4C13AD7A"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2008</w:t>
            </w:r>
          </w:p>
        </w:tc>
        <w:tc>
          <w:tcPr>
            <w:tcW w:w="708" w:type="dxa"/>
            <w:tcBorders>
              <w:top w:val="nil"/>
              <w:left w:val="nil"/>
              <w:bottom w:val="nil"/>
              <w:right w:val="nil"/>
            </w:tcBorders>
            <w:shd w:val="clear" w:color="000000" w:fill="FFFFFF"/>
            <w:noWrap/>
            <w:vAlign w:val="center"/>
            <w:hideMark/>
          </w:tcPr>
          <w:p w14:paraId="29F2F278"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0.1666</w:t>
            </w:r>
          </w:p>
        </w:tc>
        <w:tc>
          <w:tcPr>
            <w:tcW w:w="353" w:type="dxa"/>
            <w:tcBorders>
              <w:top w:val="nil"/>
              <w:left w:val="nil"/>
              <w:bottom w:val="nil"/>
              <w:right w:val="nil"/>
            </w:tcBorders>
            <w:shd w:val="clear" w:color="000000" w:fill="FFFFFF"/>
            <w:noWrap/>
            <w:vAlign w:val="center"/>
            <w:hideMark/>
          </w:tcPr>
          <w:p w14:paraId="684CB491"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760" w:type="dxa"/>
            <w:tcBorders>
              <w:top w:val="nil"/>
              <w:left w:val="nil"/>
              <w:bottom w:val="nil"/>
              <w:right w:val="nil"/>
            </w:tcBorders>
            <w:shd w:val="clear" w:color="000000" w:fill="FFFFFF"/>
            <w:noWrap/>
            <w:vAlign w:val="center"/>
            <w:hideMark/>
          </w:tcPr>
          <w:p w14:paraId="61B809BF"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9291</w:t>
            </w:r>
          </w:p>
        </w:tc>
        <w:tc>
          <w:tcPr>
            <w:tcW w:w="708" w:type="dxa"/>
            <w:tcBorders>
              <w:top w:val="nil"/>
              <w:left w:val="nil"/>
              <w:bottom w:val="nil"/>
              <w:right w:val="nil"/>
            </w:tcBorders>
            <w:shd w:val="clear" w:color="000000" w:fill="FFFFFF"/>
            <w:noWrap/>
            <w:vAlign w:val="center"/>
            <w:hideMark/>
          </w:tcPr>
          <w:p w14:paraId="6C5AD3E1"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0.011</w:t>
            </w:r>
          </w:p>
        </w:tc>
        <w:tc>
          <w:tcPr>
            <w:tcW w:w="293" w:type="dxa"/>
            <w:tcBorders>
              <w:top w:val="nil"/>
              <w:left w:val="nil"/>
              <w:bottom w:val="nil"/>
              <w:right w:val="nil"/>
            </w:tcBorders>
            <w:shd w:val="clear" w:color="000000" w:fill="FFFFFF"/>
            <w:noWrap/>
            <w:vAlign w:val="center"/>
            <w:hideMark/>
          </w:tcPr>
          <w:p w14:paraId="737F435D"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8"/>
                <w:szCs w:val="18"/>
              </w:rPr>
            </w:pPr>
            <w:r w:rsidRPr="001C5041">
              <w:rPr>
                <w:rFonts w:ascii="Cambria" w:eastAsia="Times New Roman" w:hAnsi="Cambria" w:cs="Times New Roman"/>
                <w:color w:val="auto"/>
                <w:sz w:val="18"/>
                <w:szCs w:val="18"/>
              </w:rPr>
              <w:t>*</w:t>
            </w:r>
          </w:p>
        </w:tc>
      </w:tr>
      <w:tr w:rsidR="001C5041" w:rsidRPr="001C5041" w14:paraId="5940E1FE" w14:textId="77777777" w:rsidTr="00B2646B">
        <w:trPr>
          <w:trHeight w:val="300"/>
          <w:jc w:val="center"/>
        </w:trPr>
        <w:tc>
          <w:tcPr>
            <w:tcW w:w="1520" w:type="dxa"/>
            <w:tcBorders>
              <w:top w:val="nil"/>
              <w:left w:val="nil"/>
              <w:bottom w:val="nil"/>
              <w:right w:val="nil"/>
            </w:tcBorders>
            <w:shd w:val="clear" w:color="000000" w:fill="FFFFFF"/>
            <w:noWrap/>
            <w:vAlign w:val="center"/>
            <w:hideMark/>
          </w:tcPr>
          <w:p w14:paraId="1387AD48" w14:textId="3271A902" w:rsidR="001C5041" w:rsidRPr="001C5041" w:rsidRDefault="004E35C9"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eastAsia="Times New Roman" w:hAnsi="Cambria" w:cs="Times New Roman"/>
                <w:i/>
                <w:iCs/>
                <w:sz w:val="16"/>
                <w:szCs w:val="16"/>
              </w:rPr>
            </w:pPr>
            <w:r>
              <w:rPr>
                <w:rFonts w:ascii="Cambria" w:eastAsia="Times New Roman" w:hAnsi="Cambria" w:cs="Times New Roman"/>
                <w:i/>
                <w:iCs/>
                <w:sz w:val="16"/>
                <w:szCs w:val="16"/>
              </w:rPr>
              <w:t>F</w:t>
            </w:r>
            <w:r w:rsidR="001C5041" w:rsidRPr="001C5041">
              <w:rPr>
                <w:rFonts w:ascii="Cambria" w:eastAsia="Times New Roman" w:hAnsi="Cambria" w:cs="Times New Roman"/>
                <w:i/>
                <w:iCs/>
                <w:sz w:val="16"/>
                <w:szCs w:val="16"/>
              </w:rPr>
              <w:t>orest coverage %</w:t>
            </w:r>
          </w:p>
        </w:tc>
        <w:tc>
          <w:tcPr>
            <w:tcW w:w="822" w:type="dxa"/>
            <w:tcBorders>
              <w:top w:val="nil"/>
              <w:left w:val="nil"/>
              <w:bottom w:val="nil"/>
              <w:right w:val="nil"/>
            </w:tcBorders>
            <w:shd w:val="clear" w:color="000000" w:fill="FFFFFF"/>
            <w:noWrap/>
            <w:vAlign w:val="center"/>
            <w:hideMark/>
          </w:tcPr>
          <w:p w14:paraId="570F5D86"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Times New Roman"/>
                <w:sz w:val="16"/>
                <w:szCs w:val="16"/>
              </w:rPr>
            </w:pPr>
            <w:r w:rsidRPr="001C5041">
              <w:rPr>
                <w:rFonts w:eastAsia="Times New Roman" w:cs="Times New Roman"/>
                <w:sz w:val="16"/>
                <w:szCs w:val="16"/>
              </w:rPr>
              <w:t>29</w:t>
            </w:r>
          </w:p>
        </w:tc>
        <w:tc>
          <w:tcPr>
            <w:tcW w:w="781" w:type="dxa"/>
            <w:tcBorders>
              <w:top w:val="nil"/>
              <w:left w:val="nil"/>
              <w:bottom w:val="nil"/>
              <w:right w:val="nil"/>
            </w:tcBorders>
            <w:shd w:val="clear" w:color="000000" w:fill="FFFFFF"/>
            <w:noWrap/>
            <w:vAlign w:val="center"/>
            <w:hideMark/>
          </w:tcPr>
          <w:p w14:paraId="0383CAA1"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10548</w:t>
            </w:r>
          </w:p>
        </w:tc>
        <w:tc>
          <w:tcPr>
            <w:tcW w:w="857" w:type="dxa"/>
            <w:tcBorders>
              <w:top w:val="nil"/>
              <w:left w:val="nil"/>
              <w:bottom w:val="nil"/>
              <w:right w:val="nil"/>
            </w:tcBorders>
            <w:shd w:val="clear" w:color="000000" w:fill="FFFFFF"/>
            <w:noWrap/>
            <w:vAlign w:val="center"/>
            <w:hideMark/>
          </w:tcPr>
          <w:p w14:paraId="72013A02"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0.0183</w:t>
            </w:r>
          </w:p>
        </w:tc>
        <w:tc>
          <w:tcPr>
            <w:tcW w:w="353" w:type="dxa"/>
            <w:tcBorders>
              <w:top w:val="nil"/>
              <w:left w:val="nil"/>
              <w:bottom w:val="nil"/>
              <w:right w:val="nil"/>
            </w:tcBorders>
            <w:shd w:val="clear" w:color="000000" w:fill="FFFFFF"/>
            <w:noWrap/>
            <w:vAlign w:val="center"/>
            <w:hideMark/>
          </w:tcPr>
          <w:p w14:paraId="341B4F6B"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w:t>
            </w:r>
          </w:p>
        </w:tc>
        <w:tc>
          <w:tcPr>
            <w:tcW w:w="265" w:type="dxa"/>
            <w:tcBorders>
              <w:top w:val="nil"/>
              <w:left w:val="nil"/>
              <w:bottom w:val="nil"/>
              <w:right w:val="nil"/>
            </w:tcBorders>
            <w:shd w:val="clear" w:color="000000" w:fill="FFFFFF"/>
            <w:noWrap/>
            <w:vAlign w:val="center"/>
            <w:hideMark/>
          </w:tcPr>
          <w:p w14:paraId="16C29CE8"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760" w:type="dxa"/>
            <w:tcBorders>
              <w:top w:val="nil"/>
              <w:left w:val="nil"/>
              <w:bottom w:val="nil"/>
              <w:right w:val="nil"/>
            </w:tcBorders>
            <w:shd w:val="clear" w:color="000000" w:fill="FFFFFF"/>
            <w:noWrap/>
            <w:vAlign w:val="center"/>
            <w:hideMark/>
          </w:tcPr>
          <w:p w14:paraId="430A2C60"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9287</w:t>
            </w:r>
          </w:p>
        </w:tc>
        <w:tc>
          <w:tcPr>
            <w:tcW w:w="708" w:type="dxa"/>
            <w:tcBorders>
              <w:top w:val="nil"/>
              <w:left w:val="nil"/>
              <w:bottom w:val="nil"/>
              <w:right w:val="nil"/>
            </w:tcBorders>
            <w:shd w:val="clear" w:color="000000" w:fill="FFFFFF"/>
            <w:noWrap/>
            <w:vAlign w:val="center"/>
            <w:hideMark/>
          </w:tcPr>
          <w:p w14:paraId="78552C46"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0.0105</w:t>
            </w:r>
          </w:p>
        </w:tc>
        <w:tc>
          <w:tcPr>
            <w:tcW w:w="353" w:type="dxa"/>
            <w:tcBorders>
              <w:top w:val="nil"/>
              <w:left w:val="nil"/>
              <w:bottom w:val="nil"/>
              <w:right w:val="nil"/>
            </w:tcBorders>
            <w:shd w:val="clear" w:color="000000" w:fill="FFFFFF"/>
            <w:noWrap/>
            <w:vAlign w:val="center"/>
            <w:hideMark/>
          </w:tcPr>
          <w:p w14:paraId="76906B9E"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w:t>
            </w:r>
          </w:p>
        </w:tc>
        <w:tc>
          <w:tcPr>
            <w:tcW w:w="760" w:type="dxa"/>
            <w:tcBorders>
              <w:top w:val="nil"/>
              <w:left w:val="nil"/>
              <w:bottom w:val="nil"/>
              <w:right w:val="nil"/>
            </w:tcBorders>
            <w:shd w:val="clear" w:color="000000" w:fill="FFFFFF"/>
            <w:noWrap/>
            <w:vAlign w:val="center"/>
            <w:hideMark/>
          </w:tcPr>
          <w:p w14:paraId="1D7D85B6"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1262</w:t>
            </w:r>
          </w:p>
        </w:tc>
        <w:tc>
          <w:tcPr>
            <w:tcW w:w="708" w:type="dxa"/>
            <w:tcBorders>
              <w:top w:val="nil"/>
              <w:left w:val="nil"/>
              <w:bottom w:val="nil"/>
              <w:right w:val="nil"/>
            </w:tcBorders>
            <w:shd w:val="clear" w:color="000000" w:fill="FFFFFF"/>
            <w:noWrap/>
            <w:vAlign w:val="center"/>
            <w:hideMark/>
          </w:tcPr>
          <w:p w14:paraId="737F4D96"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0.274</w:t>
            </w:r>
          </w:p>
        </w:tc>
        <w:tc>
          <w:tcPr>
            <w:tcW w:w="293" w:type="dxa"/>
            <w:tcBorders>
              <w:top w:val="nil"/>
              <w:left w:val="nil"/>
              <w:bottom w:val="nil"/>
              <w:right w:val="nil"/>
            </w:tcBorders>
            <w:shd w:val="clear" w:color="000000" w:fill="FFFFFF"/>
            <w:noWrap/>
            <w:vAlign w:val="center"/>
            <w:hideMark/>
          </w:tcPr>
          <w:p w14:paraId="75D075B7"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sz w:val="18"/>
                <w:szCs w:val="18"/>
              </w:rPr>
            </w:pPr>
            <w:r w:rsidRPr="001C5041">
              <w:rPr>
                <w:rFonts w:ascii="Cambria" w:eastAsia="Times New Roman" w:hAnsi="Cambria" w:cs="Times New Roman"/>
                <w:sz w:val="18"/>
                <w:szCs w:val="18"/>
              </w:rPr>
              <w:t> </w:t>
            </w:r>
          </w:p>
        </w:tc>
      </w:tr>
      <w:tr w:rsidR="001C5041" w:rsidRPr="001C5041" w14:paraId="1B627587" w14:textId="77777777" w:rsidTr="00B2646B">
        <w:trPr>
          <w:trHeight w:val="300"/>
          <w:jc w:val="center"/>
        </w:trPr>
        <w:tc>
          <w:tcPr>
            <w:tcW w:w="1520" w:type="dxa"/>
            <w:tcBorders>
              <w:top w:val="nil"/>
              <w:left w:val="nil"/>
              <w:bottom w:val="nil"/>
              <w:right w:val="nil"/>
            </w:tcBorders>
            <w:shd w:val="clear" w:color="000000" w:fill="FFFFFF"/>
            <w:noWrap/>
            <w:vAlign w:val="center"/>
            <w:hideMark/>
          </w:tcPr>
          <w:p w14:paraId="292AB87F"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eastAsia="Times New Roman" w:hAnsi="Cambria" w:cs="Times New Roman"/>
                <w:i/>
                <w:iCs/>
                <w:sz w:val="16"/>
                <w:szCs w:val="16"/>
              </w:rPr>
            </w:pPr>
            <w:r w:rsidRPr="001C5041">
              <w:rPr>
                <w:rFonts w:ascii="Cambria" w:eastAsia="Times New Roman" w:hAnsi="Cambria" w:cs="Times New Roman"/>
                <w:i/>
                <w:iCs/>
                <w:sz w:val="16"/>
                <w:szCs w:val="16"/>
              </w:rPr>
              <w:t>Soil group</w:t>
            </w:r>
          </w:p>
        </w:tc>
        <w:tc>
          <w:tcPr>
            <w:tcW w:w="822" w:type="dxa"/>
            <w:tcBorders>
              <w:top w:val="nil"/>
              <w:left w:val="nil"/>
              <w:bottom w:val="nil"/>
              <w:right w:val="nil"/>
            </w:tcBorders>
            <w:shd w:val="clear" w:color="000000" w:fill="FFFFFF"/>
            <w:noWrap/>
            <w:vAlign w:val="center"/>
            <w:hideMark/>
          </w:tcPr>
          <w:p w14:paraId="66F4B734"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Times New Roman"/>
                <w:sz w:val="16"/>
                <w:szCs w:val="16"/>
              </w:rPr>
            </w:pPr>
            <w:r w:rsidRPr="001C5041">
              <w:rPr>
                <w:rFonts w:eastAsia="Times New Roman" w:cs="Times New Roman"/>
                <w:sz w:val="16"/>
                <w:szCs w:val="16"/>
              </w:rPr>
              <w:t>28</w:t>
            </w:r>
          </w:p>
        </w:tc>
        <w:tc>
          <w:tcPr>
            <w:tcW w:w="781" w:type="dxa"/>
            <w:tcBorders>
              <w:top w:val="nil"/>
              <w:left w:val="nil"/>
              <w:bottom w:val="nil"/>
              <w:right w:val="nil"/>
            </w:tcBorders>
            <w:shd w:val="clear" w:color="000000" w:fill="FFFFFF"/>
            <w:noWrap/>
            <w:vAlign w:val="center"/>
            <w:hideMark/>
          </w:tcPr>
          <w:p w14:paraId="55252247"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0.102</w:t>
            </w:r>
          </w:p>
        </w:tc>
        <w:tc>
          <w:tcPr>
            <w:tcW w:w="857" w:type="dxa"/>
            <w:tcBorders>
              <w:top w:val="nil"/>
              <w:left w:val="nil"/>
              <w:bottom w:val="nil"/>
              <w:right w:val="nil"/>
            </w:tcBorders>
            <w:shd w:val="clear" w:color="000000" w:fill="FFFFFF"/>
            <w:noWrap/>
            <w:vAlign w:val="center"/>
            <w:hideMark/>
          </w:tcPr>
          <w:p w14:paraId="0CA0D636"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0.9464</w:t>
            </w:r>
          </w:p>
        </w:tc>
        <w:tc>
          <w:tcPr>
            <w:tcW w:w="353" w:type="dxa"/>
            <w:tcBorders>
              <w:top w:val="nil"/>
              <w:left w:val="nil"/>
              <w:bottom w:val="nil"/>
              <w:right w:val="nil"/>
            </w:tcBorders>
            <w:shd w:val="clear" w:color="000000" w:fill="FFFFFF"/>
            <w:noWrap/>
            <w:vAlign w:val="center"/>
            <w:hideMark/>
          </w:tcPr>
          <w:p w14:paraId="114695FC"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265" w:type="dxa"/>
            <w:tcBorders>
              <w:top w:val="nil"/>
              <w:left w:val="nil"/>
              <w:bottom w:val="nil"/>
              <w:right w:val="nil"/>
            </w:tcBorders>
            <w:shd w:val="clear" w:color="000000" w:fill="FFFFFF"/>
            <w:noWrap/>
            <w:vAlign w:val="center"/>
            <w:hideMark/>
          </w:tcPr>
          <w:p w14:paraId="5BF49925"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760" w:type="dxa"/>
            <w:tcBorders>
              <w:top w:val="nil"/>
              <w:left w:val="nil"/>
              <w:bottom w:val="nil"/>
              <w:right w:val="nil"/>
            </w:tcBorders>
            <w:shd w:val="clear" w:color="000000" w:fill="FFFFFF"/>
            <w:noWrap/>
            <w:vAlign w:val="center"/>
            <w:hideMark/>
          </w:tcPr>
          <w:p w14:paraId="51A40DE9"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0.075</w:t>
            </w:r>
          </w:p>
        </w:tc>
        <w:tc>
          <w:tcPr>
            <w:tcW w:w="708" w:type="dxa"/>
            <w:tcBorders>
              <w:top w:val="nil"/>
              <w:left w:val="nil"/>
              <w:bottom w:val="nil"/>
              <w:right w:val="nil"/>
            </w:tcBorders>
            <w:shd w:val="clear" w:color="000000" w:fill="FFFFFF"/>
            <w:noWrap/>
            <w:vAlign w:val="center"/>
            <w:hideMark/>
          </w:tcPr>
          <w:p w14:paraId="1DB68BF2"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0.9508</w:t>
            </w:r>
          </w:p>
        </w:tc>
        <w:tc>
          <w:tcPr>
            <w:tcW w:w="353" w:type="dxa"/>
            <w:tcBorders>
              <w:top w:val="nil"/>
              <w:left w:val="nil"/>
              <w:bottom w:val="nil"/>
              <w:right w:val="nil"/>
            </w:tcBorders>
            <w:shd w:val="clear" w:color="000000" w:fill="FFFFFF"/>
            <w:noWrap/>
            <w:vAlign w:val="center"/>
            <w:hideMark/>
          </w:tcPr>
          <w:p w14:paraId="7F2396C1"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760" w:type="dxa"/>
            <w:tcBorders>
              <w:top w:val="nil"/>
              <w:left w:val="nil"/>
              <w:bottom w:val="nil"/>
              <w:right w:val="nil"/>
            </w:tcBorders>
            <w:shd w:val="clear" w:color="000000" w:fill="FFFFFF"/>
            <w:noWrap/>
            <w:vAlign w:val="center"/>
            <w:hideMark/>
          </w:tcPr>
          <w:p w14:paraId="135B7422"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0.028</w:t>
            </w:r>
          </w:p>
        </w:tc>
        <w:tc>
          <w:tcPr>
            <w:tcW w:w="708" w:type="dxa"/>
            <w:tcBorders>
              <w:top w:val="nil"/>
              <w:left w:val="nil"/>
              <w:bottom w:val="nil"/>
              <w:right w:val="nil"/>
            </w:tcBorders>
            <w:shd w:val="clear" w:color="000000" w:fill="FFFFFF"/>
            <w:noWrap/>
            <w:vAlign w:val="center"/>
            <w:hideMark/>
          </w:tcPr>
          <w:p w14:paraId="3683064F"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0.9508</w:t>
            </w:r>
          </w:p>
        </w:tc>
        <w:tc>
          <w:tcPr>
            <w:tcW w:w="293" w:type="dxa"/>
            <w:tcBorders>
              <w:top w:val="nil"/>
              <w:left w:val="nil"/>
              <w:bottom w:val="nil"/>
              <w:right w:val="nil"/>
            </w:tcBorders>
            <w:shd w:val="clear" w:color="000000" w:fill="FFFFFF"/>
            <w:noWrap/>
            <w:vAlign w:val="center"/>
            <w:hideMark/>
          </w:tcPr>
          <w:p w14:paraId="5B95C2E3"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sz w:val="18"/>
                <w:szCs w:val="18"/>
              </w:rPr>
            </w:pPr>
            <w:r w:rsidRPr="001C5041">
              <w:rPr>
                <w:rFonts w:ascii="Cambria" w:eastAsia="Times New Roman" w:hAnsi="Cambria" w:cs="Times New Roman"/>
                <w:sz w:val="18"/>
                <w:szCs w:val="18"/>
              </w:rPr>
              <w:t> </w:t>
            </w:r>
          </w:p>
        </w:tc>
      </w:tr>
      <w:tr w:rsidR="001C5041" w:rsidRPr="001C5041" w14:paraId="1C8B269F" w14:textId="77777777" w:rsidTr="00B2646B">
        <w:trPr>
          <w:trHeight w:val="300"/>
          <w:jc w:val="center"/>
        </w:trPr>
        <w:tc>
          <w:tcPr>
            <w:tcW w:w="1520" w:type="dxa"/>
            <w:tcBorders>
              <w:top w:val="nil"/>
              <w:left w:val="nil"/>
              <w:bottom w:val="nil"/>
              <w:right w:val="nil"/>
            </w:tcBorders>
            <w:shd w:val="clear" w:color="000000" w:fill="FFFFFF"/>
            <w:noWrap/>
            <w:vAlign w:val="center"/>
            <w:hideMark/>
          </w:tcPr>
          <w:p w14:paraId="2B438793"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eastAsia="Times New Roman" w:hAnsi="Cambria" w:cs="Times New Roman"/>
                <w:i/>
                <w:iCs/>
                <w:sz w:val="16"/>
                <w:szCs w:val="16"/>
              </w:rPr>
            </w:pPr>
            <w:r w:rsidRPr="001C5041">
              <w:rPr>
                <w:rFonts w:ascii="Cambria" w:eastAsia="Times New Roman" w:hAnsi="Cambria" w:cs="Times New Roman"/>
                <w:i/>
                <w:iCs/>
                <w:sz w:val="16"/>
                <w:szCs w:val="16"/>
              </w:rPr>
              <w:t>Sand:Soil</w:t>
            </w:r>
          </w:p>
        </w:tc>
        <w:tc>
          <w:tcPr>
            <w:tcW w:w="822" w:type="dxa"/>
            <w:tcBorders>
              <w:top w:val="nil"/>
              <w:left w:val="nil"/>
              <w:bottom w:val="nil"/>
              <w:right w:val="nil"/>
            </w:tcBorders>
            <w:shd w:val="clear" w:color="000000" w:fill="FFFFFF"/>
            <w:noWrap/>
            <w:vAlign w:val="center"/>
            <w:hideMark/>
          </w:tcPr>
          <w:p w14:paraId="58B4C979"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Times New Roman"/>
                <w:sz w:val="16"/>
                <w:szCs w:val="16"/>
              </w:rPr>
            </w:pPr>
            <w:r w:rsidRPr="001C5041">
              <w:rPr>
                <w:rFonts w:eastAsia="Times New Roman" w:cs="Times New Roman"/>
                <w:sz w:val="16"/>
                <w:szCs w:val="16"/>
              </w:rPr>
              <w:t>27</w:t>
            </w:r>
          </w:p>
        </w:tc>
        <w:tc>
          <w:tcPr>
            <w:tcW w:w="781" w:type="dxa"/>
            <w:tcBorders>
              <w:top w:val="nil"/>
              <w:left w:val="nil"/>
              <w:bottom w:val="nil"/>
              <w:right w:val="nil"/>
            </w:tcBorders>
            <w:shd w:val="clear" w:color="000000" w:fill="FFFFFF"/>
            <w:noWrap/>
            <w:vAlign w:val="center"/>
            <w:hideMark/>
          </w:tcPr>
          <w:p w14:paraId="2AA21434"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6063</w:t>
            </w:r>
          </w:p>
        </w:tc>
        <w:tc>
          <w:tcPr>
            <w:tcW w:w="857" w:type="dxa"/>
            <w:tcBorders>
              <w:top w:val="nil"/>
              <w:left w:val="nil"/>
              <w:bottom w:val="nil"/>
              <w:right w:val="nil"/>
            </w:tcBorders>
            <w:shd w:val="clear" w:color="000000" w:fill="FFFFFF"/>
            <w:noWrap/>
            <w:vAlign w:val="center"/>
            <w:hideMark/>
          </w:tcPr>
          <w:p w14:paraId="26EDE24A"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0.0768</w:t>
            </w:r>
          </w:p>
        </w:tc>
        <w:tc>
          <w:tcPr>
            <w:tcW w:w="353" w:type="dxa"/>
            <w:tcBorders>
              <w:top w:val="nil"/>
              <w:left w:val="nil"/>
              <w:bottom w:val="nil"/>
              <w:right w:val="nil"/>
            </w:tcBorders>
            <w:shd w:val="clear" w:color="000000" w:fill="FFFFFF"/>
            <w:noWrap/>
            <w:vAlign w:val="center"/>
            <w:hideMark/>
          </w:tcPr>
          <w:p w14:paraId="0F0EEABB"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w:t>
            </w:r>
          </w:p>
        </w:tc>
        <w:tc>
          <w:tcPr>
            <w:tcW w:w="265" w:type="dxa"/>
            <w:tcBorders>
              <w:top w:val="nil"/>
              <w:left w:val="nil"/>
              <w:bottom w:val="nil"/>
              <w:right w:val="nil"/>
            </w:tcBorders>
            <w:shd w:val="clear" w:color="000000" w:fill="FFFFFF"/>
            <w:noWrap/>
            <w:vAlign w:val="center"/>
            <w:hideMark/>
          </w:tcPr>
          <w:p w14:paraId="4A4FC41A"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760" w:type="dxa"/>
            <w:tcBorders>
              <w:top w:val="nil"/>
              <w:left w:val="nil"/>
              <w:bottom w:val="nil"/>
              <w:right w:val="nil"/>
            </w:tcBorders>
            <w:shd w:val="clear" w:color="000000" w:fill="FFFFFF"/>
            <w:noWrap/>
            <w:vAlign w:val="center"/>
            <w:hideMark/>
          </w:tcPr>
          <w:p w14:paraId="7122EDD0"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3293</w:t>
            </w:r>
          </w:p>
        </w:tc>
        <w:tc>
          <w:tcPr>
            <w:tcW w:w="708" w:type="dxa"/>
            <w:tcBorders>
              <w:top w:val="nil"/>
              <w:left w:val="nil"/>
              <w:bottom w:val="nil"/>
              <w:right w:val="nil"/>
            </w:tcBorders>
            <w:shd w:val="clear" w:color="000000" w:fill="FFFFFF"/>
            <w:noWrap/>
            <w:vAlign w:val="center"/>
            <w:hideMark/>
          </w:tcPr>
          <w:p w14:paraId="640A32A1"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0.1512</w:t>
            </w:r>
          </w:p>
        </w:tc>
        <w:tc>
          <w:tcPr>
            <w:tcW w:w="353" w:type="dxa"/>
            <w:tcBorders>
              <w:top w:val="nil"/>
              <w:left w:val="nil"/>
              <w:bottom w:val="nil"/>
              <w:right w:val="nil"/>
            </w:tcBorders>
            <w:shd w:val="clear" w:color="000000" w:fill="FFFFFF"/>
            <w:noWrap/>
            <w:vAlign w:val="center"/>
            <w:hideMark/>
          </w:tcPr>
          <w:p w14:paraId="7645443E"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760" w:type="dxa"/>
            <w:tcBorders>
              <w:top w:val="nil"/>
              <w:left w:val="nil"/>
              <w:bottom w:val="nil"/>
              <w:right w:val="nil"/>
            </w:tcBorders>
            <w:shd w:val="clear" w:color="000000" w:fill="FFFFFF"/>
            <w:noWrap/>
            <w:vAlign w:val="center"/>
            <w:hideMark/>
          </w:tcPr>
          <w:p w14:paraId="5A580518"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2769</w:t>
            </w:r>
          </w:p>
        </w:tc>
        <w:tc>
          <w:tcPr>
            <w:tcW w:w="708" w:type="dxa"/>
            <w:tcBorders>
              <w:top w:val="nil"/>
              <w:left w:val="nil"/>
              <w:bottom w:val="nil"/>
              <w:right w:val="nil"/>
            </w:tcBorders>
            <w:shd w:val="clear" w:color="000000" w:fill="FFFFFF"/>
            <w:noWrap/>
            <w:vAlign w:val="center"/>
            <w:hideMark/>
          </w:tcPr>
          <w:p w14:paraId="7DC84C3F"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0.1512</w:t>
            </w:r>
          </w:p>
        </w:tc>
        <w:tc>
          <w:tcPr>
            <w:tcW w:w="293" w:type="dxa"/>
            <w:tcBorders>
              <w:top w:val="nil"/>
              <w:left w:val="nil"/>
              <w:bottom w:val="nil"/>
              <w:right w:val="nil"/>
            </w:tcBorders>
            <w:shd w:val="clear" w:color="000000" w:fill="FFFFFF"/>
            <w:noWrap/>
            <w:vAlign w:val="center"/>
            <w:hideMark/>
          </w:tcPr>
          <w:p w14:paraId="0822079F"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sz w:val="18"/>
                <w:szCs w:val="18"/>
              </w:rPr>
            </w:pPr>
            <w:r w:rsidRPr="001C5041">
              <w:rPr>
                <w:rFonts w:ascii="Cambria" w:eastAsia="Times New Roman" w:hAnsi="Cambria" w:cs="Times New Roman"/>
                <w:sz w:val="18"/>
                <w:szCs w:val="18"/>
              </w:rPr>
              <w:t> </w:t>
            </w:r>
          </w:p>
        </w:tc>
      </w:tr>
      <w:tr w:rsidR="001C5041" w:rsidRPr="001C5041" w14:paraId="3C40D4D0" w14:textId="77777777" w:rsidTr="00B2646B">
        <w:trPr>
          <w:trHeight w:val="90"/>
          <w:jc w:val="center"/>
        </w:trPr>
        <w:tc>
          <w:tcPr>
            <w:tcW w:w="1520" w:type="dxa"/>
            <w:tcBorders>
              <w:top w:val="nil"/>
              <w:left w:val="nil"/>
              <w:bottom w:val="nil"/>
              <w:right w:val="nil"/>
            </w:tcBorders>
            <w:shd w:val="clear" w:color="000000" w:fill="FFFFFF"/>
            <w:noWrap/>
            <w:vAlign w:val="center"/>
            <w:hideMark/>
          </w:tcPr>
          <w:p w14:paraId="21555CA8"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eastAsia="Times New Roman" w:hAnsi="Cambria" w:cs="Times New Roman"/>
                <w:i/>
                <w:iCs/>
                <w:sz w:val="16"/>
                <w:szCs w:val="16"/>
              </w:rPr>
            </w:pPr>
            <w:r w:rsidRPr="001C5041">
              <w:rPr>
                <w:rFonts w:ascii="Cambria" w:eastAsia="Times New Roman" w:hAnsi="Cambria" w:cs="Times New Roman"/>
                <w:i/>
                <w:iCs/>
                <w:sz w:val="16"/>
                <w:szCs w:val="16"/>
              </w:rPr>
              <w:t> </w:t>
            </w:r>
          </w:p>
        </w:tc>
        <w:tc>
          <w:tcPr>
            <w:tcW w:w="822" w:type="dxa"/>
            <w:tcBorders>
              <w:top w:val="nil"/>
              <w:left w:val="nil"/>
              <w:bottom w:val="nil"/>
              <w:right w:val="nil"/>
            </w:tcBorders>
            <w:shd w:val="clear" w:color="000000" w:fill="FFFFFF"/>
            <w:noWrap/>
            <w:vAlign w:val="center"/>
            <w:hideMark/>
          </w:tcPr>
          <w:p w14:paraId="62D06A07"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781" w:type="dxa"/>
            <w:tcBorders>
              <w:top w:val="nil"/>
              <w:left w:val="nil"/>
              <w:bottom w:val="nil"/>
              <w:right w:val="nil"/>
            </w:tcBorders>
            <w:shd w:val="clear" w:color="000000" w:fill="FFFFFF"/>
            <w:noWrap/>
            <w:vAlign w:val="center"/>
            <w:hideMark/>
          </w:tcPr>
          <w:p w14:paraId="708075F1"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857" w:type="dxa"/>
            <w:tcBorders>
              <w:top w:val="nil"/>
              <w:left w:val="nil"/>
              <w:bottom w:val="nil"/>
              <w:right w:val="nil"/>
            </w:tcBorders>
            <w:shd w:val="clear" w:color="000000" w:fill="FFFFFF"/>
            <w:noWrap/>
            <w:vAlign w:val="center"/>
            <w:hideMark/>
          </w:tcPr>
          <w:p w14:paraId="0B3991DE"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353" w:type="dxa"/>
            <w:tcBorders>
              <w:top w:val="nil"/>
              <w:left w:val="nil"/>
              <w:bottom w:val="nil"/>
              <w:right w:val="nil"/>
            </w:tcBorders>
            <w:shd w:val="clear" w:color="000000" w:fill="FFFFFF"/>
            <w:noWrap/>
            <w:vAlign w:val="center"/>
            <w:hideMark/>
          </w:tcPr>
          <w:p w14:paraId="3A9DBA1B"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265" w:type="dxa"/>
            <w:tcBorders>
              <w:top w:val="nil"/>
              <w:left w:val="nil"/>
              <w:bottom w:val="nil"/>
              <w:right w:val="nil"/>
            </w:tcBorders>
            <w:shd w:val="clear" w:color="000000" w:fill="FFFFFF"/>
            <w:noWrap/>
            <w:vAlign w:val="center"/>
            <w:hideMark/>
          </w:tcPr>
          <w:p w14:paraId="4FF96A16"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760" w:type="dxa"/>
            <w:tcBorders>
              <w:top w:val="nil"/>
              <w:left w:val="nil"/>
              <w:bottom w:val="nil"/>
              <w:right w:val="nil"/>
            </w:tcBorders>
            <w:shd w:val="clear" w:color="000000" w:fill="FFFFFF"/>
            <w:noWrap/>
            <w:vAlign w:val="center"/>
            <w:hideMark/>
          </w:tcPr>
          <w:p w14:paraId="2E67A463"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708" w:type="dxa"/>
            <w:tcBorders>
              <w:top w:val="nil"/>
              <w:left w:val="nil"/>
              <w:bottom w:val="nil"/>
              <w:right w:val="nil"/>
            </w:tcBorders>
            <w:shd w:val="clear" w:color="000000" w:fill="FFFFFF"/>
            <w:noWrap/>
            <w:vAlign w:val="center"/>
            <w:hideMark/>
          </w:tcPr>
          <w:p w14:paraId="591A2E00"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353" w:type="dxa"/>
            <w:tcBorders>
              <w:top w:val="nil"/>
              <w:left w:val="nil"/>
              <w:bottom w:val="nil"/>
              <w:right w:val="nil"/>
            </w:tcBorders>
            <w:shd w:val="clear" w:color="000000" w:fill="FFFFFF"/>
            <w:noWrap/>
            <w:vAlign w:val="center"/>
            <w:hideMark/>
          </w:tcPr>
          <w:p w14:paraId="5C638D24"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760" w:type="dxa"/>
            <w:tcBorders>
              <w:top w:val="nil"/>
              <w:left w:val="nil"/>
              <w:bottom w:val="nil"/>
              <w:right w:val="nil"/>
            </w:tcBorders>
            <w:shd w:val="clear" w:color="000000" w:fill="FFFFFF"/>
            <w:noWrap/>
            <w:vAlign w:val="center"/>
            <w:hideMark/>
          </w:tcPr>
          <w:p w14:paraId="722A816E"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708" w:type="dxa"/>
            <w:tcBorders>
              <w:top w:val="nil"/>
              <w:left w:val="nil"/>
              <w:bottom w:val="nil"/>
              <w:right w:val="nil"/>
            </w:tcBorders>
            <w:shd w:val="clear" w:color="000000" w:fill="FFFFFF"/>
            <w:noWrap/>
            <w:vAlign w:val="center"/>
            <w:hideMark/>
          </w:tcPr>
          <w:p w14:paraId="63B4539E"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293" w:type="dxa"/>
            <w:tcBorders>
              <w:top w:val="nil"/>
              <w:left w:val="nil"/>
              <w:bottom w:val="nil"/>
              <w:right w:val="nil"/>
            </w:tcBorders>
            <w:shd w:val="clear" w:color="000000" w:fill="FFFFFF"/>
            <w:noWrap/>
            <w:vAlign w:val="center"/>
            <w:hideMark/>
          </w:tcPr>
          <w:p w14:paraId="17F8BB94"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sz w:val="18"/>
                <w:szCs w:val="18"/>
              </w:rPr>
            </w:pPr>
            <w:r w:rsidRPr="001C5041">
              <w:rPr>
                <w:rFonts w:ascii="Cambria" w:eastAsia="Times New Roman" w:hAnsi="Cambria" w:cs="Times New Roman"/>
                <w:sz w:val="18"/>
                <w:szCs w:val="18"/>
              </w:rPr>
              <w:t> </w:t>
            </w:r>
          </w:p>
        </w:tc>
      </w:tr>
      <w:tr w:rsidR="001C5041" w:rsidRPr="001C5041" w14:paraId="267936FA" w14:textId="77777777" w:rsidTr="00B2646B">
        <w:trPr>
          <w:trHeight w:val="300"/>
          <w:jc w:val="center"/>
        </w:trPr>
        <w:tc>
          <w:tcPr>
            <w:tcW w:w="1520" w:type="dxa"/>
            <w:tcBorders>
              <w:top w:val="nil"/>
              <w:left w:val="nil"/>
              <w:bottom w:val="nil"/>
              <w:right w:val="nil"/>
            </w:tcBorders>
            <w:shd w:val="clear" w:color="000000" w:fill="FFFFFF"/>
            <w:noWrap/>
            <w:vAlign w:val="center"/>
            <w:hideMark/>
          </w:tcPr>
          <w:p w14:paraId="1E31044F"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eastAsia="Times New Roman" w:hAnsi="Cambria" w:cs="Times New Roman"/>
                <w:i/>
                <w:iCs/>
                <w:sz w:val="16"/>
                <w:szCs w:val="16"/>
              </w:rPr>
            </w:pPr>
            <w:r w:rsidRPr="001C5041">
              <w:rPr>
                <w:rFonts w:ascii="Cambria" w:eastAsia="Times New Roman" w:hAnsi="Cambria" w:cs="Times New Roman"/>
                <w:i/>
                <w:iCs/>
                <w:sz w:val="16"/>
                <w:szCs w:val="16"/>
              </w:rPr>
              <w:t> </w:t>
            </w:r>
          </w:p>
        </w:tc>
        <w:tc>
          <w:tcPr>
            <w:tcW w:w="2813" w:type="dxa"/>
            <w:gridSpan w:val="4"/>
            <w:tcBorders>
              <w:top w:val="nil"/>
              <w:left w:val="nil"/>
              <w:bottom w:val="nil"/>
              <w:right w:val="nil"/>
            </w:tcBorders>
            <w:shd w:val="clear" w:color="000000" w:fill="FFFFFF"/>
            <w:noWrap/>
            <w:vAlign w:val="center"/>
            <w:hideMark/>
          </w:tcPr>
          <w:p w14:paraId="597F0EE2"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i/>
                <w:iCs/>
                <w:color w:val="auto"/>
                <w:sz w:val="16"/>
                <w:szCs w:val="16"/>
              </w:rPr>
            </w:pPr>
            <w:r w:rsidRPr="001C5041">
              <w:rPr>
                <w:rFonts w:ascii="Cambria" w:eastAsia="Times New Roman" w:hAnsi="Cambria" w:cs="Times New Roman"/>
                <w:i/>
                <w:iCs/>
                <w:color w:val="auto"/>
                <w:sz w:val="16"/>
                <w:szCs w:val="16"/>
              </w:rPr>
              <w:t xml:space="preserve">Habitat selectivity groups </w:t>
            </w:r>
          </w:p>
        </w:tc>
        <w:tc>
          <w:tcPr>
            <w:tcW w:w="265" w:type="dxa"/>
            <w:tcBorders>
              <w:top w:val="nil"/>
              <w:left w:val="nil"/>
              <w:bottom w:val="nil"/>
              <w:right w:val="nil"/>
            </w:tcBorders>
            <w:shd w:val="clear" w:color="000000" w:fill="FFFFFF"/>
            <w:noWrap/>
            <w:vAlign w:val="center"/>
            <w:hideMark/>
          </w:tcPr>
          <w:p w14:paraId="7A6AD92D"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i/>
                <w:iCs/>
                <w:color w:val="auto"/>
                <w:sz w:val="16"/>
                <w:szCs w:val="16"/>
              </w:rPr>
            </w:pPr>
            <w:r w:rsidRPr="001C5041">
              <w:rPr>
                <w:rFonts w:ascii="Cambria" w:eastAsia="Times New Roman" w:hAnsi="Cambria" w:cs="Times New Roman"/>
                <w:i/>
                <w:iCs/>
                <w:color w:val="auto"/>
                <w:sz w:val="16"/>
                <w:szCs w:val="16"/>
              </w:rPr>
              <w:t> </w:t>
            </w:r>
          </w:p>
        </w:tc>
        <w:tc>
          <w:tcPr>
            <w:tcW w:w="1468" w:type="dxa"/>
            <w:gridSpan w:val="2"/>
            <w:tcBorders>
              <w:top w:val="nil"/>
              <w:left w:val="nil"/>
              <w:bottom w:val="nil"/>
              <w:right w:val="nil"/>
            </w:tcBorders>
            <w:shd w:val="clear" w:color="000000" w:fill="FFFFFF"/>
            <w:noWrap/>
            <w:vAlign w:val="center"/>
            <w:hideMark/>
          </w:tcPr>
          <w:p w14:paraId="701A94D2"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i/>
                <w:iCs/>
                <w:color w:val="auto"/>
                <w:sz w:val="16"/>
                <w:szCs w:val="16"/>
              </w:rPr>
            </w:pPr>
            <w:r w:rsidRPr="001C5041">
              <w:rPr>
                <w:rFonts w:ascii="Cambria" w:eastAsia="Times New Roman" w:hAnsi="Cambria" w:cs="Times New Roman"/>
                <w:i/>
                <w:iCs/>
                <w:color w:val="auto"/>
                <w:sz w:val="16"/>
                <w:szCs w:val="16"/>
              </w:rPr>
              <w:t>Forest specialists</w:t>
            </w:r>
          </w:p>
        </w:tc>
        <w:tc>
          <w:tcPr>
            <w:tcW w:w="353" w:type="dxa"/>
            <w:tcBorders>
              <w:top w:val="nil"/>
              <w:left w:val="nil"/>
              <w:bottom w:val="nil"/>
              <w:right w:val="nil"/>
            </w:tcBorders>
            <w:shd w:val="clear" w:color="000000" w:fill="FFFFFF"/>
            <w:noWrap/>
            <w:vAlign w:val="center"/>
            <w:hideMark/>
          </w:tcPr>
          <w:p w14:paraId="46CC37B2"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i/>
                <w:iCs/>
                <w:color w:val="auto"/>
                <w:sz w:val="16"/>
                <w:szCs w:val="16"/>
              </w:rPr>
            </w:pPr>
            <w:r w:rsidRPr="001C5041">
              <w:rPr>
                <w:rFonts w:ascii="Cambria" w:eastAsia="Times New Roman" w:hAnsi="Cambria" w:cs="Times New Roman"/>
                <w:i/>
                <w:iCs/>
                <w:color w:val="auto"/>
                <w:sz w:val="16"/>
                <w:szCs w:val="16"/>
              </w:rPr>
              <w:t> </w:t>
            </w:r>
          </w:p>
        </w:tc>
        <w:tc>
          <w:tcPr>
            <w:tcW w:w="1468" w:type="dxa"/>
            <w:gridSpan w:val="2"/>
            <w:tcBorders>
              <w:top w:val="nil"/>
              <w:left w:val="nil"/>
              <w:bottom w:val="nil"/>
              <w:right w:val="nil"/>
            </w:tcBorders>
            <w:shd w:val="clear" w:color="000000" w:fill="FFFFFF"/>
            <w:noWrap/>
            <w:vAlign w:val="center"/>
            <w:hideMark/>
          </w:tcPr>
          <w:p w14:paraId="238187CD"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i/>
                <w:iCs/>
                <w:color w:val="auto"/>
                <w:sz w:val="16"/>
                <w:szCs w:val="16"/>
              </w:rPr>
            </w:pPr>
            <w:r w:rsidRPr="001C5041">
              <w:rPr>
                <w:rFonts w:ascii="Cambria" w:eastAsia="Times New Roman" w:hAnsi="Cambria" w:cs="Times New Roman"/>
                <w:i/>
                <w:iCs/>
                <w:color w:val="auto"/>
                <w:sz w:val="16"/>
                <w:szCs w:val="16"/>
              </w:rPr>
              <w:t>Generalists</w:t>
            </w:r>
          </w:p>
        </w:tc>
        <w:tc>
          <w:tcPr>
            <w:tcW w:w="293" w:type="dxa"/>
            <w:tcBorders>
              <w:top w:val="nil"/>
              <w:left w:val="nil"/>
              <w:bottom w:val="nil"/>
              <w:right w:val="nil"/>
            </w:tcBorders>
            <w:shd w:val="clear" w:color="000000" w:fill="FFFFFF"/>
            <w:noWrap/>
            <w:vAlign w:val="center"/>
            <w:hideMark/>
          </w:tcPr>
          <w:p w14:paraId="3B4378AC"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i/>
                <w:iCs/>
                <w:sz w:val="18"/>
                <w:szCs w:val="18"/>
              </w:rPr>
            </w:pPr>
            <w:r w:rsidRPr="001C5041">
              <w:rPr>
                <w:rFonts w:ascii="Cambria" w:eastAsia="Times New Roman" w:hAnsi="Cambria" w:cs="Times New Roman"/>
                <w:i/>
                <w:iCs/>
                <w:sz w:val="18"/>
                <w:szCs w:val="18"/>
              </w:rPr>
              <w:t> </w:t>
            </w:r>
          </w:p>
        </w:tc>
      </w:tr>
      <w:tr w:rsidR="001C5041" w:rsidRPr="001C5041" w14:paraId="75B893E6" w14:textId="77777777" w:rsidTr="00B2646B">
        <w:trPr>
          <w:trHeight w:val="300"/>
          <w:jc w:val="center"/>
        </w:trPr>
        <w:tc>
          <w:tcPr>
            <w:tcW w:w="1520" w:type="dxa"/>
            <w:tcBorders>
              <w:top w:val="nil"/>
              <w:left w:val="nil"/>
              <w:bottom w:val="nil"/>
              <w:right w:val="nil"/>
            </w:tcBorders>
            <w:shd w:val="clear" w:color="000000" w:fill="FFFFFF"/>
            <w:noWrap/>
            <w:vAlign w:val="center"/>
            <w:hideMark/>
          </w:tcPr>
          <w:p w14:paraId="133EDC28"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eastAsia="Times New Roman" w:hAnsi="Cambria" w:cs="Times New Roman"/>
                <w:i/>
                <w:iCs/>
                <w:sz w:val="16"/>
                <w:szCs w:val="16"/>
              </w:rPr>
            </w:pPr>
            <w:r w:rsidRPr="001C5041">
              <w:rPr>
                <w:rFonts w:ascii="Cambria" w:eastAsia="Times New Roman" w:hAnsi="Cambria" w:cs="Times New Roman"/>
                <w:i/>
                <w:iCs/>
                <w:sz w:val="16"/>
                <w:szCs w:val="16"/>
              </w:rPr>
              <w:t> </w:t>
            </w:r>
          </w:p>
        </w:tc>
        <w:tc>
          <w:tcPr>
            <w:tcW w:w="822" w:type="dxa"/>
            <w:tcBorders>
              <w:top w:val="nil"/>
              <w:left w:val="nil"/>
              <w:bottom w:val="nil"/>
              <w:right w:val="nil"/>
            </w:tcBorders>
            <w:shd w:val="clear" w:color="000000" w:fill="FFFFFF"/>
            <w:noWrap/>
            <w:vAlign w:val="center"/>
            <w:hideMark/>
          </w:tcPr>
          <w:p w14:paraId="6D909B02" w14:textId="46AA6E8C"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Res.</w:t>
            </w:r>
            <w:r w:rsidR="00C16031">
              <w:rPr>
                <w:rFonts w:ascii="Cambria" w:eastAsia="Times New Roman" w:hAnsi="Cambria" w:cs="Times New Roman"/>
                <w:color w:val="auto"/>
                <w:sz w:val="16"/>
                <w:szCs w:val="16"/>
              </w:rPr>
              <w:t xml:space="preserve"> d</w:t>
            </w:r>
            <w:r w:rsidRPr="001C5041">
              <w:rPr>
                <w:rFonts w:ascii="Cambria" w:eastAsia="Times New Roman" w:hAnsi="Cambria" w:cs="Times New Roman"/>
                <w:color w:val="auto"/>
                <w:sz w:val="16"/>
                <w:szCs w:val="16"/>
              </w:rPr>
              <w:t>f</w:t>
            </w:r>
          </w:p>
        </w:tc>
        <w:tc>
          <w:tcPr>
            <w:tcW w:w="781" w:type="dxa"/>
            <w:tcBorders>
              <w:top w:val="nil"/>
              <w:left w:val="nil"/>
              <w:bottom w:val="nil"/>
              <w:right w:val="nil"/>
            </w:tcBorders>
            <w:shd w:val="clear" w:color="000000" w:fill="FFFFFF"/>
            <w:noWrap/>
            <w:vAlign w:val="center"/>
            <w:hideMark/>
          </w:tcPr>
          <w:p w14:paraId="5F978992" w14:textId="4F0D8EC9"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F</w:t>
            </w:r>
          </w:p>
        </w:tc>
        <w:tc>
          <w:tcPr>
            <w:tcW w:w="857" w:type="dxa"/>
            <w:tcBorders>
              <w:top w:val="nil"/>
              <w:left w:val="nil"/>
              <w:bottom w:val="nil"/>
              <w:right w:val="nil"/>
            </w:tcBorders>
            <w:shd w:val="clear" w:color="000000" w:fill="FFFFFF"/>
            <w:noWrap/>
            <w:vAlign w:val="center"/>
            <w:hideMark/>
          </w:tcPr>
          <w:p w14:paraId="53858AF7"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Pr(&gt;F)</w:t>
            </w:r>
          </w:p>
        </w:tc>
        <w:tc>
          <w:tcPr>
            <w:tcW w:w="353" w:type="dxa"/>
            <w:tcBorders>
              <w:top w:val="nil"/>
              <w:left w:val="nil"/>
              <w:bottom w:val="nil"/>
              <w:right w:val="nil"/>
            </w:tcBorders>
            <w:shd w:val="clear" w:color="000000" w:fill="FFFFFF"/>
            <w:noWrap/>
            <w:vAlign w:val="center"/>
            <w:hideMark/>
          </w:tcPr>
          <w:p w14:paraId="45311945"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265" w:type="dxa"/>
            <w:tcBorders>
              <w:top w:val="nil"/>
              <w:left w:val="nil"/>
              <w:bottom w:val="nil"/>
              <w:right w:val="nil"/>
            </w:tcBorders>
            <w:shd w:val="clear" w:color="000000" w:fill="FFFFFF"/>
            <w:noWrap/>
            <w:vAlign w:val="center"/>
            <w:hideMark/>
          </w:tcPr>
          <w:p w14:paraId="07A3495B"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760" w:type="dxa"/>
            <w:tcBorders>
              <w:top w:val="nil"/>
              <w:left w:val="nil"/>
              <w:bottom w:val="nil"/>
              <w:right w:val="nil"/>
            </w:tcBorders>
            <w:shd w:val="clear" w:color="000000" w:fill="FFFFFF"/>
            <w:noWrap/>
            <w:vAlign w:val="center"/>
            <w:hideMark/>
          </w:tcPr>
          <w:p w14:paraId="1E41E102" w14:textId="4A2348BC"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F</w:t>
            </w:r>
          </w:p>
        </w:tc>
        <w:tc>
          <w:tcPr>
            <w:tcW w:w="708" w:type="dxa"/>
            <w:tcBorders>
              <w:top w:val="nil"/>
              <w:left w:val="nil"/>
              <w:bottom w:val="nil"/>
              <w:right w:val="nil"/>
            </w:tcBorders>
            <w:shd w:val="clear" w:color="000000" w:fill="FFFFFF"/>
            <w:noWrap/>
            <w:vAlign w:val="center"/>
            <w:hideMark/>
          </w:tcPr>
          <w:p w14:paraId="6061BF00"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Pr(&gt;F)</w:t>
            </w:r>
          </w:p>
        </w:tc>
        <w:tc>
          <w:tcPr>
            <w:tcW w:w="353" w:type="dxa"/>
            <w:tcBorders>
              <w:top w:val="nil"/>
              <w:left w:val="nil"/>
              <w:bottom w:val="nil"/>
              <w:right w:val="nil"/>
            </w:tcBorders>
            <w:shd w:val="clear" w:color="000000" w:fill="FFFFFF"/>
            <w:noWrap/>
            <w:vAlign w:val="center"/>
            <w:hideMark/>
          </w:tcPr>
          <w:p w14:paraId="20E94276"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760" w:type="dxa"/>
            <w:tcBorders>
              <w:top w:val="nil"/>
              <w:left w:val="nil"/>
              <w:bottom w:val="nil"/>
              <w:right w:val="nil"/>
            </w:tcBorders>
            <w:shd w:val="clear" w:color="000000" w:fill="FFFFFF"/>
            <w:noWrap/>
            <w:vAlign w:val="center"/>
            <w:hideMark/>
          </w:tcPr>
          <w:p w14:paraId="2FA76C14" w14:textId="21743E61"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F</w:t>
            </w:r>
          </w:p>
        </w:tc>
        <w:tc>
          <w:tcPr>
            <w:tcW w:w="708" w:type="dxa"/>
            <w:tcBorders>
              <w:top w:val="nil"/>
              <w:left w:val="nil"/>
              <w:bottom w:val="nil"/>
              <w:right w:val="nil"/>
            </w:tcBorders>
            <w:shd w:val="clear" w:color="000000" w:fill="FFFFFF"/>
            <w:noWrap/>
            <w:vAlign w:val="center"/>
            <w:hideMark/>
          </w:tcPr>
          <w:p w14:paraId="44EA127B"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Pr(&gt;F)</w:t>
            </w:r>
          </w:p>
        </w:tc>
        <w:tc>
          <w:tcPr>
            <w:tcW w:w="293" w:type="dxa"/>
            <w:tcBorders>
              <w:top w:val="nil"/>
              <w:left w:val="nil"/>
              <w:bottom w:val="nil"/>
              <w:right w:val="nil"/>
            </w:tcBorders>
            <w:shd w:val="clear" w:color="000000" w:fill="FFFFFF"/>
            <w:noWrap/>
            <w:vAlign w:val="center"/>
            <w:hideMark/>
          </w:tcPr>
          <w:p w14:paraId="62D3E301"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sz w:val="18"/>
                <w:szCs w:val="18"/>
              </w:rPr>
            </w:pPr>
            <w:r w:rsidRPr="001C5041">
              <w:rPr>
                <w:rFonts w:ascii="Cambria" w:eastAsia="Times New Roman" w:hAnsi="Cambria" w:cs="Times New Roman"/>
                <w:sz w:val="18"/>
                <w:szCs w:val="18"/>
              </w:rPr>
              <w:t> </w:t>
            </w:r>
          </w:p>
        </w:tc>
      </w:tr>
      <w:tr w:rsidR="001C5041" w:rsidRPr="001C5041" w14:paraId="6569BE72" w14:textId="77777777" w:rsidTr="00B2646B">
        <w:trPr>
          <w:trHeight w:val="300"/>
          <w:jc w:val="center"/>
        </w:trPr>
        <w:tc>
          <w:tcPr>
            <w:tcW w:w="1520" w:type="dxa"/>
            <w:tcBorders>
              <w:top w:val="nil"/>
              <w:left w:val="nil"/>
              <w:bottom w:val="nil"/>
              <w:right w:val="nil"/>
            </w:tcBorders>
            <w:shd w:val="clear" w:color="000000" w:fill="FFFFFF"/>
            <w:noWrap/>
            <w:vAlign w:val="center"/>
            <w:hideMark/>
          </w:tcPr>
          <w:p w14:paraId="450EC608"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eastAsia="Times New Roman" w:hAnsi="Cambria" w:cs="Times New Roman"/>
                <w:i/>
                <w:iCs/>
                <w:sz w:val="16"/>
                <w:szCs w:val="16"/>
              </w:rPr>
            </w:pPr>
            <w:r w:rsidRPr="001C5041">
              <w:rPr>
                <w:rFonts w:ascii="Cambria" w:eastAsia="Times New Roman" w:hAnsi="Cambria" w:cs="Times New Roman"/>
                <w:i/>
                <w:iCs/>
                <w:sz w:val="16"/>
                <w:szCs w:val="16"/>
              </w:rPr>
              <w:t>Sand %</w:t>
            </w:r>
          </w:p>
        </w:tc>
        <w:tc>
          <w:tcPr>
            <w:tcW w:w="822" w:type="dxa"/>
            <w:tcBorders>
              <w:top w:val="nil"/>
              <w:left w:val="nil"/>
              <w:bottom w:val="nil"/>
              <w:right w:val="nil"/>
            </w:tcBorders>
            <w:shd w:val="clear" w:color="000000" w:fill="FFFFFF"/>
            <w:noWrap/>
            <w:vAlign w:val="center"/>
            <w:hideMark/>
          </w:tcPr>
          <w:p w14:paraId="62CFF4E6"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Times New Roman"/>
                <w:sz w:val="16"/>
                <w:szCs w:val="16"/>
              </w:rPr>
            </w:pPr>
            <w:r w:rsidRPr="001C5041">
              <w:rPr>
                <w:rFonts w:eastAsia="Times New Roman" w:cs="Times New Roman"/>
                <w:sz w:val="16"/>
                <w:szCs w:val="16"/>
              </w:rPr>
              <w:t>30</w:t>
            </w:r>
          </w:p>
        </w:tc>
        <w:tc>
          <w:tcPr>
            <w:tcW w:w="781" w:type="dxa"/>
            <w:tcBorders>
              <w:top w:val="nil"/>
              <w:left w:val="nil"/>
              <w:bottom w:val="nil"/>
              <w:right w:val="nil"/>
            </w:tcBorders>
            <w:shd w:val="clear" w:color="000000" w:fill="FFFFFF"/>
            <w:noWrap/>
            <w:vAlign w:val="center"/>
            <w:hideMark/>
          </w:tcPr>
          <w:p w14:paraId="5EF30D25"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18.73</w:t>
            </w:r>
          </w:p>
        </w:tc>
        <w:tc>
          <w:tcPr>
            <w:tcW w:w="857" w:type="dxa"/>
            <w:tcBorders>
              <w:top w:val="nil"/>
              <w:left w:val="nil"/>
              <w:bottom w:val="nil"/>
              <w:right w:val="nil"/>
            </w:tcBorders>
            <w:shd w:val="clear" w:color="000000" w:fill="FFFFFF"/>
            <w:noWrap/>
            <w:vAlign w:val="center"/>
            <w:hideMark/>
          </w:tcPr>
          <w:p w14:paraId="2D4C2C5E"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0.0042</w:t>
            </w:r>
          </w:p>
        </w:tc>
        <w:tc>
          <w:tcPr>
            <w:tcW w:w="353" w:type="dxa"/>
            <w:tcBorders>
              <w:top w:val="nil"/>
              <w:left w:val="nil"/>
              <w:bottom w:val="nil"/>
              <w:right w:val="nil"/>
            </w:tcBorders>
            <w:shd w:val="clear" w:color="000000" w:fill="FFFFFF"/>
            <w:noWrap/>
            <w:vAlign w:val="center"/>
            <w:hideMark/>
          </w:tcPr>
          <w:p w14:paraId="5E4EE983"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w:t>
            </w:r>
          </w:p>
        </w:tc>
        <w:tc>
          <w:tcPr>
            <w:tcW w:w="265" w:type="dxa"/>
            <w:tcBorders>
              <w:top w:val="nil"/>
              <w:left w:val="nil"/>
              <w:bottom w:val="nil"/>
              <w:right w:val="nil"/>
            </w:tcBorders>
            <w:shd w:val="clear" w:color="000000" w:fill="FFFFFF"/>
            <w:noWrap/>
            <w:vAlign w:val="center"/>
            <w:hideMark/>
          </w:tcPr>
          <w:p w14:paraId="14613EDA"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760" w:type="dxa"/>
            <w:tcBorders>
              <w:top w:val="nil"/>
              <w:left w:val="nil"/>
              <w:bottom w:val="nil"/>
              <w:right w:val="nil"/>
            </w:tcBorders>
            <w:shd w:val="clear" w:color="000000" w:fill="FFFFFF"/>
            <w:noWrap/>
            <w:vAlign w:val="center"/>
            <w:hideMark/>
          </w:tcPr>
          <w:p w14:paraId="71B4F920"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17206</w:t>
            </w:r>
          </w:p>
        </w:tc>
        <w:tc>
          <w:tcPr>
            <w:tcW w:w="708" w:type="dxa"/>
            <w:tcBorders>
              <w:top w:val="nil"/>
              <w:left w:val="nil"/>
              <w:bottom w:val="nil"/>
              <w:right w:val="nil"/>
            </w:tcBorders>
            <w:shd w:val="clear" w:color="000000" w:fill="FFFFFF"/>
            <w:noWrap/>
            <w:vAlign w:val="center"/>
            <w:hideMark/>
          </w:tcPr>
          <w:p w14:paraId="46C628DA"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0.0024</w:t>
            </w:r>
          </w:p>
        </w:tc>
        <w:tc>
          <w:tcPr>
            <w:tcW w:w="353" w:type="dxa"/>
            <w:tcBorders>
              <w:top w:val="nil"/>
              <w:left w:val="nil"/>
              <w:bottom w:val="nil"/>
              <w:right w:val="nil"/>
            </w:tcBorders>
            <w:shd w:val="clear" w:color="000000" w:fill="FFFFFF"/>
            <w:noWrap/>
            <w:vAlign w:val="center"/>
            <w:hideMark/>
          </w:tcPr>
          <w:p w14:paraId="3B1A0026"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w:t>
            </w:r>
          </w:p>
        </w:tc>
        <w:tc>
          <w:tcPr>
            <w:tcW w:w="760" w:type="dxa"/>
            <w:tcBorders>
              <w:top w:val="nil"/>
              <w:left w:val="nil"/>
              <w:bottom w:val="nil"/>
              <w:right w:val="nil"/>
            </w:tcBorders>
            <w:shd w:val="clear" w:color="000000" w:fill="FFFFFF"/>
            <w:noWrap/>
            <w:vAlign w:val="center"/>
            <w:hideMark/>
          </w:tcPr>
          <w:p w14:paraId="6F847A2F"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1531</w:t>
            </w:r>
          </w:p>
        </w:tc>
        <w:tc>
          <w:tcPr>
            <w:tcW w:w="708" w:type="dxa"/>
            <w:tcBorders>
              <w:top w:val="nil"/>
              <w:left w:val="nil"/>
              <w:bottom w:val="nil"/>
              <w:right w:val="nil"/>
            </w:tcBorders>
            <w:shd w:val="clear" w:color="000000" w:fill="FFFFFF"/>
            <w:noWrap/>
            <w:vAlign w:val="center"/>
            <w:hideMark/>
          </w:tcPr>
          <w:p w14:paraId="485048BF"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0.2226</w:t>
            </w:r>
          </w:p>
        </w:tc>
        <w:tc>
          <w:tcPr>
            <w:tcW w:w="293" w:type="dxa"/>
            <w:tcBorders>
              <w:top w:val="nil"/>
              <w:left w:val="nil"/>
              <w:bottom w:val="nil"/>
              <w:right w:val="nil"/>
            </w:tcBorders>
            <w:shd w:val="clear" w:color="000000" w:fill="FFFFFF"/>
            <w:noWrap/>
            <w:vAlign w:val="center"/>
            <w:hideMark/>
          </w:tcPr>
          <w:p w14:paraId="4B03A1FA"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sz w:val="18"/>
                <w:szCs w:val="18"/>
              </w:rPr>
            </w:pPr>
            <w:r w:rsidRPr="001C5041">
              <w:rPr>
                <w:rFonts w:ascii="Cambria" w:eastAsia="Times New Roman" w:hAnsi="Cambria" w:cs="Times New Roman"/>
                <w:sz w:val="18"/>
                <w:szCs w:val="18"/>
              </w:rPr>
              <w:t> </w:t>
            </w:r>
          </w:p>
        </w:tc>
      </w:tr>
      <w:tr w:rsidR="001C5041" w:rsidRPr="001C5041" w14:paraId="41361D37" w14:textId="77777777" w:rsidTr="00B2646B">
        <w:trPr>
          <w:trHeight w:val="300"/>
          <w:jc w:val="center"/>
        </w:trPr>
        <w:tc>
          <w:tcPr>
            <w:tcW w:w="1520" w:type="dxa"/>
            <w:tcBorders>
              <w:top w:val="nil"/>
              <w:left w:val="nil"/>
              <w:bottom w:val="nil"/>
              <w:right w:val="nil"/>
            </w:tcBorders>
            <w:shd w:val="clear" w:color="000000" w:fill="FFFFFF"/>
            <w:noWrap/>
            <w:vAlign w:val="center"/>
            <w:hideMark/>
          </w:tcPr>
          <w:p w14:paraId="24BC1852" w14:textId="6CB79441" w:rsidR="001C5041" w:rsidRPr="001C5041" w:rsidRDefault="004E35C9"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eastAsia="Times New Roman" w:hAnsi="Cambria" w:cs="Times New Roman"/>
                <w:i/>
                <w:iCs/>
                <w:sz w:val="16"/>
                <w:szCs w:val="16"/>
              </w:rPr>
            </w:pPr>
            <w:r>
              <w:rPr>
                <w:rFonts w:ascii="Cambria" w:eastAsia="Times New Roman" w:hAnsi="Cambria" w:cs="Times New Roman"/>
                <w:i/>
                <w:iCs/>
                <w:sz w:val="16"/>
                <w:szCs w:val="16"/>
              </w:rPr>
              <w:t>F</w:t>
            </w:r>
            <w:r w:rsidR="001C5041" w:rsidRPr="001C5041">
              <w:rPr>
                <w:rFonts w:ascii="Cambria" w:eastAsia="Times New Roman" w:hAnsi="Cambria" w:cs="Times New Roman"/>
                <w:i/>
                <w:iCs/>
                <w:sz w:val="16"/>
                <w:szCs w:val="16"/>
              </w:rPr>
              <w:t>orest coverage %</w:t>
            </w:r>
          </w:p>
        </w:tc>
        <w:tc>
          <w:tcPr>
            <w:tcW w:w="822" w:type="dxa"/>
            <w:tcBorders>
              <w:top w:val="nil"/>
              <w:left w:val="nil"/>
              <w:bottom w:val="nil"/>
              <w:right w:val="nil"/>
            </w:tcBorders>
            <w:shd w:val="clear" w:color="000000" w:fill="FFFFFF"/>
            <w:noWrap/>
            <w:vAlign w:val="center"/>
            <w:hideMark/>
          </w:tcPr>
          <w:p w14:paraId="5EFDD3C2"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Times New Roman"/>
                <w:sz w:val="16"/>
                <w:szCs w:val="16"/>
              </w:rPr>
            </w:pPr>
            <w:r w:rsidRPr="001C5041">
              <w:rPr>
                <w:rFonts w:eastAsia="Times New Roman" w:cs="Times New Roman"/>
                <w:sz w:val="16"/>
                <w:szCs w:val="16"/>
              </w:rPr>
              <w:t>29</w:t>
            </w:r>
          </w:p>
        </w:tc>
        <w:tc>
          <w:tcPr>
            <w:tcW w:w="781" w:type="dxa"/>
            <w:tcBorders>
              <w:top w:val="nil"/>
              <w:left w:val="nil"/>
              <w:bottom w:val="nil"/>
              <w:right w:val="nil"/>
            </w:tcBorders>
            <w:shd w:val="clear" w:color="000000" w:fill="FFFFFF"/>
            <w:noWrap/>
            <w:vAlign w:val="center"/>
            <w:hideMark/>
          </w:tcPr>
          <w:p w14:paraId="4AB1AEBD"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6879</w:t>
            </w:r>
          </w:p>
        </w:tc>
        <w:tc>
          <w:tcPr>
            <w:tcW w:w="857" w:type="dxa"/>
            <w:tcBorders>
              <w:top w:val="nil"/>
              <w:left w:val="nil"/>
              <w:bottom w:val="nil"/>
              <w:right w:val="nil"/>
            </w:tcBorders>
            <w:shd w:val="clear" w:color="000000" w:fill="FFFFFF"/>
            <w:noWrap/>
            <w:vAlign w:val="center"/>
            <w:hideMark/>
          </w:tcPr>
          <w:p w14:paraId="1D896CC4"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0.0473</w:t>
            </w:r>
          </w:p>
        </w:tc>
        <w:tc>
          <w:tcPr>
            <w:tcW w:w="353" w:type="dxa"/>
            <w:tcBorders>
              <w:top w:val="nil"/>
              <w:left w:val="nil"/>
              <w:bottom w:val="nil"/>
              <w:right w:val="nil"/>
            </w:tcBorders>
            <w:shd w:val="clear" w:color="000000" w:fill="FFFFFF"/>
            <w:noWrap/>
            <w:vAlign w:val="center"/>
            <w:hideMark/>
          </w:tcPr>
          <w:p w14:paraId="3C1E6874"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w:t>
            </w:r>
          </w:p>
        </w:tc>
        <w:tc>
          <w:tcPr>
            <w:tcW w:w="265" w:type="dxa"/>
            <w:tcBorders>
              <w:top w:val="nil"/>
              <w:left w:val="nil"/>
              <w:bottom w:val="nil"/>
              <w:right w:val="nil"/>
            </w:tcBorders>
            <w:shd w:val="clear" w:color="000000" w:fill="FFFFFF"/>
            <w:noWrap/>
            <w:vAlign w:val="center"/>
            <w:hideMark/>
          </w:tcPr>
          <w:p w14:paraId="759A0E64"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760" w:type="dxa"/>
            <w:tcBorders>
              <w:top w:val="nil"/>
              <w:left w:val="nil"/>
              <w:bottom w:val="nil"/>
              <w:right w:val="nil"/>
            </w:tcBorders>
            <w:shd w:val="clear" w:color="000000" w:fill="FFFFFF"/>
            <w:noWrap/>
            <w:vAlign w:val="center"/>
            <w:hideMark/>
          </w:tcPr>
          <w:p w14:paraId="322713E1"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0.829</w:t>
            </w:r>
          </w:p>
        </w:tc>
        <w:tc>
          <w:tcPr>
            <w:tcW w:w="708" w:type="dxa"/>
            <w:tcBorders>
              <w:top w:val="nil"/>
              <w:left w:val="nil"/>
              <w:bottom w:val="nil"/>
              <w:right w:val="nil"/>
            </w:tcBorders>
            <w:shd w:val="clear" w:color="000000" w:fill="FFFFFF"/>
            <w:noWrap/>
            <w:vAlign w:val="center"/>
            <w:hideMark/>
          </w:tcPr>
          <w:p w14:paraId="20327AD4"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0.3699</w:t>
            </w:r>
          </w:p>
        </w:tc>
        <w:tc>
          <w:tcPr>
            <w:tcW w:w="353" w:type="dxa"/>
            <w:tcBorders>
              <w:top w:val="nil"/>
              <w:left w:val="nil"/>
              <w:bottom w:val="nil"/>
              <w:right w:val="nil"/>
            </w:tcBorders>
            <w:shd w:val="clear" w:color="000000" w:fill="FFFFFF"/>
            <w:noWrap/>
            <w:vAlign w:val="center"/>
            <w:hideMark/>
          </w:tcPr>
          <w:p w14:paraId="4B9ED38F"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760" w:type="dxa"/>
            <w:tcBorders>
              <w:top w:val="nil"/>
              <w:left w:val="nil"/>
              <w:bottom w:val="nil"/>
              <w:right w:val="nil"/>
            </w:tcBorders>
            <w:shd w:val="clear" w:color="000000" w:fill="FFFFFF"/>
            <w:noWrap/>
            <w:vAlign w:val="center"/>
            <w:hideMark/>
          </w:tcPr>
          <w:p w14:paraId="2726E5CC"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6.05</w:t>
            </w:r>
          </w:p>
        </w:tc>
        <w:tc>
          <w:tcPr>
            <w:tcW w:w="708" w:type="dxa"/>
            <w:tcBorders>
              <w:top w:val="nil"/>
              <w:left w:val="nil"/>
              <w:bottom w:val="nil"/>
              <w:right w:val="nil"/>
            </w:tcBorders>
            <w:shd w:val="clear" w:color="000000" w:fill="FFFFFF"/>
            <w:noWrap/>
            <w:vAlign w:val="center"/>
            <w:hideMark/>
          </w:tcPr>
          <w:p w14:paraId="1A4A9C94"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0.0399</w:t>
            </w:r>
          </w:p>
        </w:tc>
        <w:tc>
          <w:tcPr>
            <w:tcW w:w="293" w:type="dxa"/>
            <w:tcBorders>
              <w:top w:val="nil"/>
              <w:left w:val="nil"/>
              <w:bottom w:val="nil"/>
              <w:right w:val="nil"/>
            </w:tcBorders>
            <w:shd w:val="clear" w:color="000000" w:fill="FFFFFF"/>
            <w:noWrap/>
            <w:vAlign w:val="center"/>
            <w:hideMark/>
          </w:tcPr>
          <w:p w14:paraId="3B658899"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8"/>
                <w:szCs w:val="18"/>
              </w:rPr>
            </w:pPr>
            <w:r w:rsidRPr="001C5041">
              <w:rPr>
                <w:rFonts w:ascii="Cambria" w:eastAsia="Times New Roman" w:hAnsi="Cambria" w:cs="Times New Roman"/>
                <w:color w:val="auto"/>
                <w:sz w:val="18"/>
                <w:szCs w:val="18"/>
              </w:rPr>
              <w:t>*</w:t>
            </w:r>
          </w:p>
        </w:tc>
      </w:tr>
      <w:tr w:rsidR="001C5041" w:rsidRPr="001C5041" w14:paraId="10411826" w14:textId="77777777" w:rsidTr="00B2646B">
        <w:trPr>
          <w:trHeight w:val="300"/>
          <w:jc w:val="center"/>
        </w:trPr>
        <w:tc>
          <w:tcPr>
            <w:tcW w:w="1520" w:type="dxa"/>
            <w:tcBorders>
              <w:top w:val="nil"/>
              <w:left w:val="nil"/>
              <w:right w:val="nil"/>
            </w:tcBorders>
            <w:shd w:val="clear" w:color="000000" w:fill="FFFFFF"/>
            <w:noWrap/>
            <w:vAlign w:val="center"/>
            <w:hideMark/>
          </w:tcPr>
          <w:p w14:paraId="540B9355"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eastAsia="Times New Roman" w:hAnsi="Cambria" w:cs="Times New Roman"/>
                <w:i/>
                <w:iCs/>
                <w:sz w:val="16"/>
                <w:szCs w:val="16"/>
              </w:rPr>
            </w:pPr>
            <w:r w:rsidRPr="001C5041">
              <w:rPr>
                <w:rFonts w:ascii="Cambria" w:eastAsia="Times New Roman" w:hAnsi="Cambria" w:cs="Times New Roman"/>
                <w:i/>
                <w:iCs/>
                <w:sz w:val="16"/>
                <w:szCs w:val="16"/>
              </w:rPr>
              <w:t>Soil group</w:t>
            </w:r>
          </w:p>
        </w:tc>
        <w:tc>
          <w:tcPr>
            <w:tcW w:w="822" w:type="dxa"/>
            <w:tcBorders>
              <w:top w:val="nil"/>
              <w:left w:val="nil"/>
              <w:right w:val="nil"/>
            </w:tcBorders>
            <w:shd w:val="clear" w:color="000000" w:fill="FFFFFF"/>
            <w:noWrap/>
            <w:vAlign w:val="center"/>
            <w:hideMark/>
          </w:tcPr>
          <w:p w14:paraId="5B20013D"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Times New Roman"/>
                <w:sz w:val="16"/>
                <w:szCs w:val="16"/>
              </w:rPr>
            </w:pPr>
            <w:r w:rsidRPr="001C5041">
              <w:rPr>
                <w:rFonts w:eastAsia="Times New Roman" w:cs="Times New Roman"/>
                <w:sz w:val="16"/>
                <w:szCs w:val="16"/>
              </w:rPr>
              <w:t>28</w:t>
            </w:r>
          </w:p>
        </w:tc>
        <w:tc>
          <w:tcPr>
            <w:tcW w:w="781" w:type="dxa"/>
            <w:tcBorders>
              <w:top w:val="nil"/>
              <w:left w:val="nil"/>
              <w:right w:val="nil"/>
            </w:tcBorders>
            <w:shd w:val="clear" w:color="000000" w:fill="FFFFFF"/>
            <w:noWrap/>
            <w:vAlign w:val="center"/>
            <w:hideMark/>
          </w:tcPr>
          <w:p w14:paraId="75DC676F"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0.669</w:t>
            </w:r>
          </w:p>
        </w:tc>
        <w:tc>
          <w:tcPr>
            <w:tcW w:w="857" w:type="dxa"/>
            <w:tcBorders>
              <w:top w:val="nil"/>
              <w:left w:val="nil"/>
              <w:right w:val="nil"/>
            </w:tcBorders>
            <w:shd w:val="clear" w:color="000000" w:fill="FFFFFF"/>
            <w:noWrap/>
            <w:vAlign w:val="center"/>
            <w:hideMark/>
          </w:tcPr>
          <w:p w14:paraId="23790B35"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0.7134</w:t>
            </w:r>
          </w:p>
        </w:tc>
        <w:tc>
          <w:tcPr>
            <w:tcW w:w="353" w:type="dxa"/>
            <w:tcBorders>
              <w:top w:val="nil"/>
              <w:left w:val="nil"/>
              <w:right w:val="nil"/>
            </w:tcBorders>
            <w:shd w:val="clear" w:color="000000" w:fill="FFFFFF"/>
            <w:noWrap/>
            <w:vAlign w:val="center"/>
            <w:hideMark/>
          </w:tcPr>
          <w:p w14:paraId="75AFA9B9"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265" w:type="dxa"/>
            <w:tcBorders>
              <w:top w:val="nil"/>
              <w:left w:val="nil"/>
              <w:right w:val="nil"/>
            </w:tcBorders>
            <w:shd w:val="clear" w:color="000000" w:fill="FFFFFF"/>
            <w:noWrap/>
            <w:vAlign w:val="center"/>
            <w:hideMark/>
          </w:tcPr>
          <w:p w14:paraId="6F0F0442"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760" w:type="dxa"/>
            <w:tcBorders>
              <w:top w:val="nil"/>
              <w:left w:val="nil"/>
              <w:right w:val="nil"/>
            </w:tcBorders>
            <w:shd w:val="clear" w:color="000000" w:fill="FFFFFF"/>
            <w:noWrap/>
            <w:vAlign w:val="center"/>
            <w:hideMark/>
          </w:tcPr>
          <w:p w14:paraId="2E23411A"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0.241</w:t>
            </w:r>
          </w:p>
        </w:tc>
        <w:tc>
          <w:tcPr>
            <w:tcW w:w="708" w:type="dxa"/>
            <w:tcBorders>
              <w:top w:val="nil"/>
              <w:left w:val="nil"/>
              <w:right w:val="nil"/>
            </w:tcBorders>
            <w:shd w:val="clear" w:color="000000" w:fill="FFFFFF"/>
            <w:noWrap/>
            <w:vAlign w:val="center"/>
            <w:hideMark/>
          </w:tcPr>
          <w:p w14:paraId="1985564B"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0.7617</w:t>
            </w:r>
          </w:p>
        </w:tc>
        <w:tc>
          <w:tcPr>
            <w:tcW w:w="353" w:type="dxa"/>
            <w:tcBorders>
              <w:top w:val="nil"/>
              <w:left w:val="nil"/>
              <w:right w:val="nil"/>
            </w:tcBorders>
            <w:shd w:val="clear" w:color="000000" w:fill="FFFFFF"/>
            <w:noWrap/>
            <w:vAlign w:val="center"/>
            <w:hideMark/>
          </w:tcPr>
          <w:p w14:paraId="2B4C388A"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760" w:type="dxa"/>
            <w:tcBorders>
              <w:top w:val="nil"/>
              <w:left w:val="nil"/>
              <w:right w:val="nil"/>
            </w:tcBorders>
            <w:shd w:val="clear" w:color="000000" w:fill="FFFFFF"/>
            <w:noWrap/>
            <w:vAlign w:val="center"/>
            <w:hideMark/>
          </w:tcPr>
          <w:p w14:paraId="2621CFF0"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0.428</w:t>
            </w:r>
          </w:p>
        </w:tc>
        <w:tc>
          <w:tcPr>
            <w:tcW w:w="708" w:type="dxa"/>
            <w:tcBorders>
              <w:top w:val="nil"/>
              <w:left w:val="nil"/>
              <w:right w:val="nil"/>
            </w:tcBorders>
            <w:shd w:val="clear" w:color="000000" w:fill="FFFFFF"/>
            <w:noWrap/>
            <w:vAlign w:val="center"/>
            <w:hideMark/>
          </w:tcPr>
          <w:p w14:paraId="7A3300CD"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0.7617</w:t>
            </w:r>
          </w:p>
        </w:tc>
        <w:tc>
          <w:tcPr>
            <w:tcW w:w="293" w:type="dxa"/>
            <w:tcBorders>
              <w:top w:val="nil"/>
              <w:left w:val="nil"/>
              <w:bottom w:val="nil"/>
              <w:right w:val="nil"/>
            </w:tcBorders>
            <w:shd w:val="clear" w:color="000000" w:fill="FFFFFF"/>
            <w:noWrap/>
            <w:vAlign w:val="center"/>
            <w:hideMark/>
          </w:tcPr>
          <w:p w14:paraId="11B2B7C7"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sz w:val="18"/>
                <w:szCs w:val="18"/>
              </w:rPr>
            </w:pPr>
            <w:r w:rsidRPr="001C5041">
              <w:rPr>
                <w:rFonts w:ascii="Cambria" w:eastAsia="Times New Roman" w:hAnsi="Cambria" w:cs="Times New Roman"/>
                <w:sz w:val="18"/>
                <w:szCs w:val="18"/>
              </w:rPr>
              <w:t> </w:t>
            </w:r>
          </w:p>
        </w:tc>
      </w:tr>
      <w:tr w:rsidR="001C5041" w:rsidRPr="001C5041" w14:paraId="01FE8E78" w14:textId="77777777" w:rsidTr="00B2646B">
        <w:trPr>
          <w:trHeight w:val="300"/>
          <w:jc w:val="center"/>
        </w:trPr>
        <w:tc>
          <w:tcPr>
            <w:tcW w:w="1520" w:type="dxa"/>
            <w:tcBorders>
              <w:top w:val="nil"/>
              <w:left w:val="nil"/>
              <w:bottom w:val="single" w:sz="4" w:space="0" w:color="auto"/>
              <w:right w:val="nil"/>
            </w:tcBorders>
            <w:shd w:val="clear" w:color="000000" w:fill="FFFFFF"/>
            <w:noWrap/>
            <w:vAlign w:val="center"/>
            <w:hideMark/>
          </w:tcPr>
          <w:p w14:paraId="2C482EE4"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ambria" w:eastAsia="Times New Roman" w:hAnsi="Cambria" w:cs="Times New Roman"/>
                <w:i/>
                <w:iCs/>
                <w:sz w:val="16"/>
                <w:szCs w:val="16"/>
              </w:rPr>
            </w:pPr>
            <w:r w:rsidRPr="001C5041">
              <w:rPr>
                <w:rFonts w:ascii="Cambria" w:eastAsia="Times New Roman" w:hAnsi="Cambria" w:cs="Times New Roman"/>
                <w:i/>
                <w:iCs/>
                <w:sz w:val="16"/>
                <w:szCs w:val="16"/>
              </w:rPr>
              <w:t>Sand:Soil</w:t>
            </w:r>
          </w:p>
        </w:tc>
        <w:tc>
          <w:tcPr>
            <w:tcW w:w="822" w:type="dxa"/>
            <w:tcBorders>
              <w:top w:val="nil"/>
              <w:left w:val="nil"/>
              <w:bottom w:val="single" w:sz="4" w:space="0" w:color="auto"/>
              <w:right w:val="nil"/>
            </w:tcBorders>
            <w:shd w:val="clear" w:color="000000" w:fill="FFFFFF"/>
            <w:noWrap/>
            <w:vAlign w:val="center"/>
            <w:hideMark/>
          </w:tcPr>
          <w:p w14:paraId="683BA66F"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Times New Roman"/>
                <w:sz w:val="16"/>
                <w:szCs w:val="16"/>
              </w:rPr>
            </w:pPr>
            <w:r w:rsidRPr="001C5041">
              <w:rPr>
                <w:rFonts w:eastAsia="Times New Roman" w:cs="Times New Roman"/>
                <w:sz w:val="16"/>
                <w:szCs w:val="16"/>
              </w:rPr>
              <w:t>27</w:t>
            </w:r>
          </w:p>
        </w:tc>
        <w:tc>
          <w:tcPr>
            <w:tcW w:w="781" w:type="dxa"/>
            <w:tcBorders>
              <w:top w:val="nil"/>
              <w:left w:val="nil"/>
              <w:bottom w:val="single" w:sz="4" w:space="0" w:color="auto"/>
              <w:right w:val="nil"/>
            </w:tcBorders>
            <w:shd w:val="clear" w:color="000000" w:fill="FFFFFF"/>
            <w:noWrap/>
            <w:vAlign w:val="center"/>
            <w:hideMark/>
          </w:tcPr>
          <w:p w14:paraId="536CE6B6"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5962</w:t>
            </w:r>
          </w:p>
        </w:tc>
        <w:tc>
          <w:tcPr>
            <w:tcW w:w="857" w:type="dxa"/>
            <w:tcBorders>
              <w:top w:val="nil"/>
              <w:left w:val="nil"/>
              <w:bottom w:val="single" w:sz="4" w:space="0" w:color="auto"/>
              <w:right w:val="nil"/>
            </w:tcBorders>
            <w:shd w:val="clear" w:color="000000" w:fill="FFFFFF"/>
            <w:noWrap/>
            <w:vAlign w:val="center"/>
            <w:hideMark/>
          </w:tcPr>
          <w:p w14:paraId="13DBADA9"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0.0722</w:t>
            </w:r>
          </w:p>
        </w:tc>
        <w:tc>
          <w:tcPr>
            <w:tcW w:w="353" w:type="dxa"/>
            <w:tcBorders>
              <w:top w:val="nil"/>
              <w:left w:val="nil"/>
              <w:bottom w:val="single" w:sz="4" w:space="0" w:color="auto"/>
              <w:right w:val="nil"/>
            </w:tcBorders>
            <w:shd w:val="clear" w:color="000000" w:fill="FFFFFF"/>
            <w:noWrap/>
            <w:vAlign w:val="center"/>
            <w:hideMark/>
          </w:tcPr>
          <w:p w14:paraId="6DA1E231"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w:t>
            </w:r>
          </w:p>
        </w:tc>
        <w:tc>
          <w:tcPr>
            <w:tcW w:w="265" w:type="dxa"/>
            <w:tcBorders>
              <w:top w:val="nil"/>
              <w:left w:val="nil"/>
              <w:bottom w:val="single" w:sz="4" w:space="0" w:color="auto"/>
              <w:right w:val="nil"/>
            </w:tcBorders>
            <w:shd w:val="clear" w:color="000000" w:fill="FFFFFF"/>
            <w:noWrap/>
            <w:vAlign w:val="center"/>
            <w:hideMark/>
          </w:tcPr>
          <w:p w14:paraId="766F5BAC"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760" w:type="dxa"/>
            <w:tcBorders>
              <w:top w:val="nil"/>
              <w:left w:val="nil"/>
              <w:bottom w:val="single" w:sz="4" w:space="0" w:color="auto"/>
              <w:right w:val="nil"/>
            </w:tcBorders>
            <w:shd w:val="clear" w:color="000000" w:fill="FFFFFF"/>
            <w:noWrap/>
            <w:vAlign w:val="center"/>
            <w:hideMark/>
          </w:tcPr>
          <w:p w14:paraId="291CC8A7"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3415</w:t>
            </w:r>
          </w:p>
        </w:tc>
        <w:tc>
          <w:tcPr>
            <w:tcW w:w="708" w:type="dxa"/>
            <w:tcBorders>
              <w:top w:val="nil"/>
              <w:left w:val="nil"/>
              <w:bottom w:val="single" w:sz="4" w:space="0" w:color="auto"/>
              <w:right w:val="nil"/>
            </w:tcBorders>
            <w:shd w:val="clear" w:color="000000" w:fill="FFFFFF"/>
            <w:noWrap/>
            <w:vAlign w:val="center"/>
            <w:hideMark/>
          </w:tcPr>
          <w:p w14:paraId="504A6930"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0.1549</w:t>
            </w:r>
          </w:p>
        </w:tc>
        <w:tc>
          <w:tcPr>
            <w:tcW w:w="353" w:type="dxa"/>
            <w:tcBorders>
              <w:top w:val="nil"/>
              <w:left w:val="nil"/>
              <w:bottom w:val="single" w:sz="4" w:space="0" w:color="auto"/>
              <w:right w:val="nil"/>
            </w:tcBorders>
            <w:shd w:val="clear" w:color="000000" w:fill="FFFFFF"/>
            <w:noWrap/>
            <w:vAlign w:val="center"/>
            <w:hideMark/>
          </w:tcPr>
          <w:p w14:paraId="51B22AF5"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color w:val="auto"/>
                <w:sz w:val="16"/>
                <w:szCs w:val="16"/>
              </w:rPr>
            </w:pPr>
            <w:r w:rsidRPr="001C5041">
              <w:rPr>
                <w:rFonts w:ascii="Cambria" w:eastAsia="Times New Roman" w:hAnsi="Cambria" w:cs="Times New Roman"/>
                <w:color w:val="auto"/>
                <w:sz w:val="16"/>
                <w:szCs w:val="16"/>
              </w:rPr>
              <w:t> </w:t>
            </w:r>
          </w:p>
        </w:tc>
        <w:tc>
          <w:tcPr>
            <w:tcW w:w="760" w:type="dxa"/>
            <w:tcBorders>
              <w:top w:val="nil"/>
              <w:left w:val="nil"/>
              <w:bottom w:val="single" w:sz="4" w:space="0" w:color="auto"/>
              <w:right w:val="nil"/>
            </w:tcBorders>
            <w:shd w:val="clear" w:color="000000" w:fill="FFFFFF"/>
            <w:noWrap/>
            <w:vAlign w:val="center"/>
            <w:hideMark/>
          </w:tcPr>
          <w:p w14:paraId="3B26CEA6"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2546</w:t>
            </w:r>
          </w:p>
        </w:tc>
        <w:tc>
          <w:tcPr>
            <w:tcW w:w="708" w:type="dxa"/>
            <w:tcBorders>
              <w:top w:val="nil"/>
              <w:left w:val="nil"/>
              <w:bottom w:val="single" w:sz="4" w:space="0" w:color="auto"/>
              <w:right w:val="nil"/>
            </w:tcBorders>
            <w:shd w:val="clear" w:color="000000" w:fill="FFFFFF"/>
            <w:noWrap/>
            <w:vAlign w:val="center"/>
            <w:hideMark/>
          </w:tcPr>
          <w:p w14:paraId="5AD28162"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cs="Times New Roman"/>
                <w:sz w:val="16"/>
                <w:szCs w:val="16"/>
              </w:rPr>
            </w:pPr>
            <w:r w:rsidRPr="001C5041">
              <w:rPr>
                <w:rFonts w:eastAsia="Times New Roman" w:cs="Times New Roman"/>
                <w:sz w:val="16"/>
                <w:szCs w:val="16"/>
              </w:rPr>
              <w:t>0.1549</w:t>
            </w:r>
          </w:p>
        </w:tc>
        <w:tc>
          <w:tcPr>
            <w:tcW w:w="293" w:type="dxa"/>
            <w:tcBorders>
              <w:top w:val="nil"/>
              <w:left w:val="nil"/>
              <w:bottom w:val="nil"/>
              <w:right w:val="nil"/>
            </w:tcBorders>
            <w:shd w:val="clear" w:color="000000" w:fill="FFFFFF"/>
            <w:noWrap/>
            <w:vAlign w:val="center"/>
            <w:hideMark/>
          </w:tcPr>
          <w:p w14:paraId="58BA6697" w14:textId="77777777" w:rsidR="001C5041" w:rsidRPr="001C5041" w:rsidRDefault="001C5041" w:rsidP="001C504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rPr>
                <w:rFonts w:ascii="Cambria" w:eastAsia="Times New Roman" w:hAnsi="Cambria" w:cs="Times New Roman"/>
                <w:sz w:val="18"/>
                <w:szCs w:val="18"/>
              </w:rPr>
            </w:pPr>
            <w:r w:rsidRPr="001C5041">
              <w:rPr>
                <w:rFonts w:ascii="Cambria" w:eastAsia="Times New Roman" w:hAnsi="Cambria" w:cs="Times New Roman"/>
                <w:sz w:val="18"/>
                <w:szCs w:val="18"/>
              </w:rPr>
              <w:t> </w:t>
            </w:r>
          </w:p>
        </w:tc>
      </w:tr>
    </w:tbl>
    <w:p w14:paraId="5F1900F4" w14:textId="77777777" w:rsidR="001C5041" w:rsidRDefault="001C5041">
      <w:pPr>
        <w:spacing w:line="480" w:lineRule="auto"/>
        <w:ind w:firstLine="426"/>
        <w:rPr>
          <w:rFonts w:ascii="Arial" w:eastAsia="Arial" w:hAnsi="Arial" w:cs="Arial"/>
        </w:rPr>
      </w:pPr>
    </w:p>
    <w:p w14:paraId="1B7CB3B6" w14:textId="1D8AB31F" w:rsidR="00D8396D" w:rsidRPr="00BE679C" w:rsidRDefault="00A427F1" w:rsidP="00473DD7">
      <w:pPr>
        <w:keepNext/>
        <w:spacing w:after="240" w:line="480" w:lineRule="auto"/>
        <w:ind w:firstLine="420"/>
        <w:jc w:val="center"/>
        <w:rPr>
          <w:rFonts w:ascii="Arial" w:eastAsia="Arial" w:hAnsi="Arial" w:cs="Arial"/>
          <w:highlight w:val="yellow"/>
        </w:rPr>
      </w:pPr>
      <w:r w:rsidRPr="009B64BF">
        <w:rPr>
          <w:rFonts w:ascii="Arial" w:eastAsia="Arial" w:hAnsi="Arial" w:cs="Arial"/>
          <w:noProof/>
          <w:lang w:val="en-AU" w:eastAsia="en-AU"/>
        </w:rPr>
        <w:lastRenderedPageBreak/>
        <w:drawing>
          <wp:inline distT="0" distB="0" distL="0" distR="0" wp14:anchorId="3E06DE07" wp14:editId="35CA1456">
            <wp:extent cx="5746750" cy="3361690"/>
            <wp:effectExtent l="0" t="0" r="635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46750" cy="3361690"/>
                    </a:xfrm>
                    <a:prstGeom prst="rect">
                      <a:avLst/>
                    </a:prstGeom>
                  </pic:spPr>
                </pic:pic>
              </a:graphicData>
            </a:graphic>
          </wp:inline>
        </w:drawing>
      </w:r>
    </w:p>
    <w:p w14:paraId="1A0702FE" w14:textId="239F454F" w:rsidR="00D8396D" w:rsidRPr="00D41C68" w:rsidRDefault="00D474E6" w:rsidP="00473DD7">
      <w:pPr>
        <w:spacing w:line="480" w:lineRule="auto"/>
        <w:jc w:val="center"/>
        <w:rPr>
          <w:rFonts w:ascii="Arial" w:eastAsia="Arial" w:hAnsi="Arial" w:cs="Arial"/>
          <w:i/>
        </w:rPr>
      </w:pPr>
      <w:r w:rsidRPr="00990DA2">
        <w:rPr>
          <w:rFonts w:ascii="Arial" w:eastAsia="Arial" w:hAnsi="Arial" w:cs="Arial"/>
          <w:i/>
          <w:sz w:val="18"/>
          <w:szCs w:val="18"/>
        </w:rPr>
        <w:t>Figure 3 – AGB as a function of sand percentage with species grouped by wood density, maximum height and habitat selectivity. Predictions within observed range for two soil conditions (fertile soils and poor/acidic), and two</w:t>
      </w:r>
      <w:r w:rsidRPr="00D41C68">
        <w:rPr>
          <w:rFonts w:ascii="Arial" w:eastAsia="Arial" w:hAnsi="Arial" w:cs="Arial"/>
          <w:i/>
          <w:sz w:val="18"/>
          <w:szCs w:val="18"/>
        </w:rPr>
        <w:t xml:space="preserve"> forest cover percentages in a 200</w:t>
      </w:r>
      <w:r w:rsidR="00EB0330">
        <w:rPr>
          <w:rFonts w:ascii="Arial" w:eastAsia="Arial" w:hAnsi="Arial" w:cs="Arial"/>
          <w:i/>
          <w:sz w:val="18"/>
          <w:szCs w:val="18"/>
        </w:rPr>
        <w:t xml:space="preserve"> </w:t>
      </w:r>
      <w:r w:rsidRPr="00D41C68">
        <w:rPr>
          <w:rFonts w:ascii="Arial" w:eastAsia="Arial" w:hAnsi="Arial" w:cs="Arial"/>
          <w:i/>
          <w:sz w:val="18"/>
          <w:szCs w:val="18"/>
        </w:rPr>
        <w:t xml:space="preserve">m buffer (interquartile extremes in our sampling). </w:t>
      </w:r>
    </w:p>
    <w:p w14:paraId="1A0A94C1" w14:textId="77777777" w:rsidR="00D8396D" w:rsidRDefault="00D474E6" w:rsidP="00473DD7">
      <w:pPr>
        <w:pStyle w:val="Heading2"/>
        <w:spacing w:line="480" w:lineRule="auto"/>
        <w:rPr>
          <w:rFonts w:ascii="Arial" w:eastAsia="Arial" w:hAnsi="Arial" w:cs="Arial"/>
        </w:rPr>
      </w:pPr>
      <w:bookmarkStart w:id="11" w:name="2s8eyo1" w:colFirst="0" w:colLast="0"/>
      <w:bookmarkEnd w:id="11"/>
      <w:r>
        <w:rPr>
          <w:rFonts w:ascii="Arial" w:eastAsia="Arial" w:hAnsi="Arial" w:cs="Arial"/>
        </w:rPr>
        <w:t>V-DISCUSSION</w:t>
      </w:r>
    </w:p>
    <w:p w14:paraId="22F978B9" w14:textId="446DE11D" w:rsidR="00D8396D" w:rsidRDefault="00D474E6" w:rsidP="00473DD7">
      <w:pPr>
        <w:spacing w:after="240" w:line="480" w:lineRule="auto"/>
        <w:ind w:firstLine="420"/>
        <w:rPr>
          <w:rFonts w:ascii="Arial" w:eastAsia="Arial" w:hAnsi="Arial" w:cs="Arial"/>
        </w:rPr>
      </w:pPr>
      <w:bookmarkStart w:id="12" w:name="17dp8vu" w:colFirst="0" w:colLast="0"/>
      <w:bookmarkEnd w:id="12"/>
      <w:r>
        <w:rPr>
          <w:rFonts w:ascii="Arial" w:eastAsia="Arial" w:hAnsi="Arial" w:cs="Arial"/>
        </w:rPr>
        <w:t>Assessing the varying results from the restoration program PRMC, and investigating their relationships with local environmental context, provides the opportunity to refine general predictions for tropical forest restoration. Combining plot</w:t>
      </w:r>
      <w:r w:rsidR="00C16031">
        <w:rPr>
          <w:rFonts w:ascii="Arial" w:eastAsia="Arial" w:hAnsi="Arial" w:cs="Arial"/>
        </w:rPr>
        <w:t>-</w:t>
      </w:r>
      <w:r>
        <w:rPr>
          <w:rFonts w:ascii="Arial" w:eastAsia="Arial" w:hAnsi="Arial" w:cs="Arial"/>
        </w:rPr>
        <w:t>level estimates to the site scale confirmed our observations that restoration outcomes ranged from open fields to dense regenerating forests. The average vegetation presents the appearance of an early stage low-stature woodland as indicated by a mean stem density of 475 trees/ha, with relatively small average tree size (averages: height = 6</w:t>
      </w:r>
      <w:r w:rsidR="00C16031">
        <w:rPr>
          <w:rFonts w:ascii="Arial" w:eastAsia="Arial" w:hAnsi="Arial" w:cs="Arial"/>
        </w:rPr>
        <w:t xml:space="preserve"> </w:t>
      </w:r>
      <w:r>
        <w:rPr>
          <w:rFonts w:ascii="Arial" w:eastAsia="Arial" w:hAnsi="Arial" w:cs="Arial"/>
        </w:rPr>
        <w:t>m, DBH = 11</w:t>
      </w:r>
      <w:r w:rsidR="00C16031">
        <w:rPr>
          <w:rFonts w:ascii="Arial" w:eastAsia="Arial" w:hAnsi="Arial" w:cs="Arial"/>
        </w:rPr>
        <w:t xml:space="preserve"> </w:t>
      </w:r>
      <w:r>
        <w:rPr>
          <w:rFonts w:ascii="Arial" w:eastAsia="Arial" w:hAnsi="Arial" w:cs="Arial"/>
        </w:rPr>
        <w:t>cm). AGB accumulation was particularly constrained by sandy soils, and by lower forest cover within 200</w:t>
      </w:r>
      <w:r w:rsidR="00C16031">
        <w:rPr>
          <w:rFonts w:ascii="Arial" w:eastAsia="Arial" w:hAnsi="Arial" w:cs="Arial"/>
        </w:rPr>
        <w:t xml:space="preserve"> </w:t>
      </w:r>
      <w:r>
        <w:rPr>
          <w:rFonts w:ascii="Arial" w:eastAsia="Arial" w:hAnsi="Arial" w:cs="Arial"/>
        </w:rPr>
        <w:t xml:space="preserve">m of the restoration site. These factors also promoted particular patterns of community assembly, and critically both are often intensified by agricultural land-use. Notably, our results suggest that </w:t>
      </w:r>
      <w:r>
        <w:rPr>
          <w:rFonts w:ascii="Arial" w:eastAsia="Arial" w:hAnsi="Arial" w:cs="Arial"/>
        </w:rPr>
        <w:lastRenderedPageBreak/>
        <w:t xml:space="preserve">unfavourable environmental contexts are not exceptions in areas designated for restoration (given the low median AGB across plots). Instead, such conditions can be prevalent, which will have marked effects on the cost-efficiency and success-rates of large restoration programs previously announced for tropical forests (Calmon et al. 2011, Durigan et al. 2013). Lastly, in the light of ecological theory, we discuss the role of environmental drivers in engendering variability in AGB accumulation and community composition, focusing on how our results can assist successful restoration programs. </w:t>
      </w:r>
    </w:p>
    <w:p w14:paraId="2463DE9A" w14:textId="7DEF9569" w:rsidR="00D8396D" w:rsidRPr="00473DD7" w:rsidRDefault="00D474E6" w:rsidP="00473DD7">
      <w:pPr>
        <w:pStyle w:val="Heading3"/>
        <w:spacing w:line="480" w:lineRule="auto"/>
        <w:rPr>
          <w:rFonts w:ascii="Arial" w:eastAsia="Arial" w:hAnsi="Arial" w:cs="Arial"/>
        </w:rPr>
      </w:pPr>
      <w:r>
        <w:rPr>
          <w:rFonts w:ascii="Arial" w:eastAsia="Arial" w:hAnsi="Arial" w:cs="Arial"/>
        </w:rPr>
        <w:t>Aboveground Biomass responses</w:t>
      </w:r>
    </w:p>
    <w:p w14:paraId="6B9B06C6" w14:textId="48355CC7" w:rsidR="00473DD7" w:rsidRDefault="00473DD7" w:rsidP="00473DD7">
      <w:pPr>
        <w:spacing w:after="240" w:line="480" w:lineRule="auto"/>
        <w:ind w:firstLine="426"/>
        <w:rPr>
          <w:rFonts w:ascii="Arial" w:eastAsia="Arial" w:hAnsi="Arial" w:cs="Arial"/>
        </w:rPr>
      </w:pPr>
      <w:r w:rsidRPr="00473DD7">
        <w:rPr>
          <w:rFonts w:ascii="Arial" w:eastAsia="Arial" w:hAnsi="Arial" w:cs="Arial"/>
        </w:rPr>
        <w:t>The extensive database analysed by Poorter et al. (2016) indicates an average AGB recovery of 122</w:t>
      </w:r>
      <w:r w:rsidR="00C16031">
        <w:rPr>
          <w:rFonts w:ascii="Arial" w:eastAsia="Arial" w:hAnsi="Arial" w:cs="Arial"/>
        </w:rPr>
        <w:t xml:space="preserve"> </w:t>
      </w:r>
      <w:r w:rsidRPr="00473DD7">
        <w:rPr>
          <w:rFonts w:ascii="Arial" w:eastAsia="Arial" w:hAnsi="Arial" w:cs="Arial"/>
        </w:rPr>
        <w:t>ton/ha during the first twenty years of neotropical secondary forests, with higher AGB yields in the first years. Hence the expected AGB recovery in the seven growing seasons investigated here would be around or above 40 ton/ha. However, we observed an average seven growing-seasons AGB accumulation of 16 ton/ha, suggesting that recovery conditions are largely poor in the studied rural landscapes. Our analysis pointed to forest cover and sand percentage as major drivers of AGB recovery; chemical fertility, in turn, did not affect AGB recovery by itself, but it was involved with an interaction with sand percentage</w:t>
      </w:r>
      <w:r w:rsidR="00C16031">
        <w:rPr>
          <w:rFonts w:ascii="Arial" w:eastAsia="Arial" w:hAnsi="Arial" w:cs="Arial"/>
        </w:rPr>
        <w:t>.</w:t>
      </w:r>
    </w:p>
    <w:p w14:paraId="265F7EBB" w14:textId="58D12321" w:rsidR="00D8396D" w:rsidRDefault="00D474E6" w:rsidP="00473DD7">
      <w:pPr>
        <w:spacing w:after="240" w:line="480" w:lineRule="auto"/>
        <w:ind w:firstLine="426"/>
        <w:rPr>
          <w:rFonts w:ascii="Arial" w:eastAsia="Arial" w:hAnsi="Arial" w:cs="Arial"/>
        </w:rPr>
      </w:pPr>
      <w:r>
        <w:rPr>
          <w:rFonts w:ascii="Arial" w:eastAsia="Arial" w:hAnsi="Arial" w:cs="Arial"/>
        </w:rPr>
        <w:t>Our model results predict low AGB recovery on sandy soils regardless of chemical fertility, with similar performance on non-sandy acidic/poor soils</w:t>
      </w:r>
      <w:r w:rsidR="00C16031">
        <w:rPr>
          <w:rFonts w:ascii="Arial" w:eastAsia="Arial" w:hAnsi="Arial" w:cs="Arial"/>
        </w:rPr>
        <w:t>.</w:t>
      </w:r>
      <w:r>
        <w:rPr>
          <w:rFonts w:ascii="Arial" w:eastAsia="Arial" w:hAnsi="Arial" w:cs="Arial"/>
        </w:rPr>
        <w:t xml:space="preserve"> </w:t>
      </w:r>
      <w:r w:rsidR="00C16031">
        <w:rPr>
          <w:rFonts w:ascii="Arial" w:eastAsia="Arial" w:hAnsi="Arial" w:cs="Arial"/>
        </w:rPr>
        <w:t>H</w:t>
      </w:r>
      <w:r>
        <w:rPr>
          <w:rFonts w:ascii="Arial" w:eastAsia="Arial" w:hAnsi="Arial" w:cs="Arial"/>
        </w:rPr>
        <w:t>owever</w:t>
      </w:r>
      <w:r w:rsidR="00C16031">
        <w:rPr>
          <w:rFonts w:ascii="Arial" w:eastAsia="Arial" w:hAnsi="Arial" w:cs="Arial"/>
        </w:rPr>
        <w:t>,</w:t>
      </w:r>
      <w:r>
        <w:rPr>
          <w:rFonts w:ascii="Arial" w:eastAsia="Arial" w:hAnsi="Arial" w:cs="Arial"/>
        </w:rPr>
        <w:t xml:space="preserve"> much higher AGB is predicted for non-sandy fertile soils. Accordingly, Holl &amp; Zahawi (2014) attributed a supporting role for soil chemical-fertility on tropical forest recovery</w:t>
      </w:r>
      <w:r w:rsidR="00C16031">
        <w:rPr>
          <w:rFonts w:ascii="Arial" w:eastAsia="Arial" w:hAnsi="Arial" w:cs="Arial"/>
        </w:rPr>
        <w:t xml:space="preserve">. </w:t>
      </w:r>
      <w:r w:rsidR="004E2252">
        <w:rPr>
          <w:rFonts w:ascii="Arial" w:eastAsia="Arial" w:hAnsi="Arial" w:cs="Arial"/>
        </w:rPr>
        <w:t>Also,</w:t>
      </w:r>
      <w:r>
        <w:rPr>
          <w:rFonts w:ascii="Arial" w:eastAsia="Arial" w:hAnsi="Arial" w:cs="Arial"/>
        </w:rPr>
        <w:t xml:space="preserve"> Poorter et al. (2016) reported a minor effect of chemical-fertility on AGB uptake, compared to water availability. T</w:t>
      </w:r>
      <w:r w:rsidR="00BB5215">
        <w:rPr>
          <w:rFonts w:ascii="Arial" w:eastAsia="Arial" w:hAnsi="Arial" w:cs="Arial"/>
        </w:rPr>
        <w:t>his pattern is possibly dynamic</w:t>
      </w:r>
      <w:r>
        <w:rPr>
          <w:rFonts w:ascii="Arial" w:eastAsia="Arial" w:hAnsi="Arial" w:cs="Arial"/>
        </w:rPr>
        <w:t xml:space="preserve"> given that forest growth both affects and is in</w:t>
      </w:r>
      <w:r w:rsidR="00AB240C">
        <w:rPr>
          <w:rFonts w:ascii="Arial" w:eastAsia="Arial" w:hAnsi="Arial" w:cs="Arial"/>
        </w:rPr>
        <w:t>fluenced by soil properties (Hon</w:t>
      </w:r>
      <w:r>
        <w:rPr>
          <w:rFonts w:ascii="Arial" w:eastAsia="Arial" w:hAnsi="Arial" w:cs="Arial"/>
        </w:rPr>
        <w:t xml:space="preserve">nay et al. 2002; Lebrija-Trejos et al. 2010). Even so, this interdependent </w:t>
      </w:r>
      <w:r>
        <w:rPr>
          <w:rFonts w:ascii="Arial" w:eastAsia="Arial" w:hAnsi="Arial" w:cs="Arial"/>
        </w:rPr>
        <w:lastRenderedPageBreak/>
        <w:t>relation (growing forests and soil underneath them) r</w:t>
      </w:r>
      <w:r w:rsidR="004E2252">
        <w:rPr>
          <w:rFonts w:ascii="Arial" w:eastAsia="Arial" w:hAnsi="Arial" w:cs="Arial"/>
        </w:rPr>
        <w:t>a</w:t>
      </w:r>
      <w:r>
        <w:rPr>
          <w:rFonts w:ascii="Arial" w:eastAsia="Arial" w:hAnsi="Arial" w:cs="Arial"/>
        </w:rPr>
        <w:t xml:space="preserve">ises an interesting point: diverging recovering trajectories may perpetuate if differences in edaphic conditions persist along the recovery process. Therefore, long-term assessments are needed to properly investigate if initially diverse recovering forests will converge in the future, as expected by practitioners. </w:t>
      </w:r>
    </w:p>
    <w:p w14:paraId="388D9C08" w14:textId="44B15208" w:rsidR="00D8396D" w:rsidRDefault="00D474E6" w:rsidP="00473DD7">
      <w:pPr>
        <w:spacing w:after="240" w:line="480" w:lineRule="auto"/>
        <w:ind w:firstLine="426"/>
        <w:rPr>
          <w:rFonts w:ascii="Arial" w:eastAsia="Arial" w:hAnsi="Arial" w:cs="Arial"/>
        </w:rPr>
      </w:pPr>
      <w:r>
        <w:rPr>
          <w:rFonts w:ascii="Arial" w:eastAsia="Arial" w:hAnsi="Arial" w:cs="Arial"/>
        </w:rPr>
        <w:t xml:space="preserve">Sandier soils are associated with higher seedling mortality due to lower water-holding capacity (Hallett et al. 2014). Interestingly, in our study, sand percentage was highly significant as a predictor of stem densities, but was not significant for average stem size, suggesting a stronger link to mortality rates as compared to growth rates. This reinforces the argument that the connection between observed sand percentage and AGB is likely due to drought mortality. Webb et al. (2005) found diminishing rainy days correlating to decreasing forest cover across São Paulo </w:t>
      </w:r>
      <w:r w:rsidR="0021737E">
        <w:rPr>
          <w:rFonts w:ascii="Arial" w:eastAsia="Arial" w:hAnsi="Arial" w:cs="Arial"/>
        </w:rPr>
        <w:t>s</w:t>
      </w:r>
      <w:r>
        <w:rPr>
          <w:rFonts w:ascii="Arial" w:eastAsia="Arial" w:hAnsi="Arial" w:cs="Arial"/>
        </w:rPr>
        <w:t xml:space="preserve">tate. At the broader scale, tree mortality and forest die-off intensification have been associated with “hotter drought”, which can be attenuated at “buffered-refugia” if landscape heterogeneity provides climate relicts where growing trees have cooler-moister conditions (Allen et al. 2015). It seems reasonable to assume that hotter drought is intensified by the agricultural matrix in the studied region, and that soil heterogeneity can amplify or attenuate water shortage. Our results suggest that patches of non-sandy soils are favourable for AGB recovery due to better moisture regulation, possibly at levels that are closer to those found under tropical forests and gaps. </w:t>
      </w:r>
    </w:p>
    <w:p w14:paraId="7E567EE4" w14:textId="3FF498E7" w:rsidR="00473DD7" w:rsidRDefault="00D474E6" w:rsidP="00473DD7">
      <w:pPr>
        <w:spacing w:after="240" w:line="480" w:lineRule="auto"/>
        <w:ind w:firstLine="426"/>
        <w:rPr>
          <w:rFonts w:ascii="Arial" w:eastAsia="Arial" w:hAnsi="Arial" w:cs="Arial"/>
        </w:rPr>
      </w:pPr>
      <w:r>
        <w:rPr>
          <w:rFonts w:ascii="Arial" w:eastAsia="Arial" w:hAnsi="Arial" w:cs="Arial"/>
        </w:rPr>
        <w:t>If human</w:t>
      </w:r>
      <w:r w:rsidR="004E2252">
        <w:rPr>
          <w:rFonts w:ascii="Arial" w:eastAsia="Arial" w:hAnsi="Arial" w:cs="Arial"/>
        </w:rPr>
        <w:t>-</w:t>
      </w:r>
      <w:r>
        <w:rPr>
          <w:rFonts w:ascii="Arial" w:eastAsia="Arial" w:hAnsi="Arial" w:cs="Arial"/>
        </w:rPr>
        <w:t xml:space="preserve">induced drought intensification is such an important recovery driver, perhaps the effective spontaneous recovery reported for landscapes with greater forest cover (de Rezende et al. 2015; Zahawi et al. 2013; de la Peña-Domene et al. 2014) results from greater microclimate buffering, where proximity to forest relicts ameliorates microclimatic differences between forests and open grasslands. Still, we found no significant interaction between forest cover and sand percentage, which could indicate climatic buffering.  Similarly, </w:t>
      </w:r>
      <w:r>
        <w:rPr>
          <w:rFonts w:ascii="Arial" w:eastAsia="Arial" w:hAnsi="Arial" w:cs="Arial"/>
        </w:rPr>
        <w:lastRenderedPageBreak/>
        <w:t>we found no significant interaction between forest cover and soil fertility, showing no evidence of nutrient buffering by lateral diffusion. In this case, it is suggested that the consistent forest cover effect that we observed is most likely related to biotic connectio</w:t>
      </w:r>
      <w:r w:rsidR="00473DD7">
        <w:rPr>
          <w:rFonts w:ascii="Arial" w:eastAsia="Arial" w:hAnsi="Arial" w:cs="Arial"/>
        </w:rPr>
        <w:t>n, e.g. through seed dispersal.</w:t>
      </w:r>
    </w:p>
    <w:p w14:paraId="5D671D8C" w14:textId="69BE54A2" w:rsidR="00D8396D" w:rsidRDefault="00473DD7" w:rsidP="00473DD7">
      <w:pPr>
        <w:spacing w:after="240" w:line="480" w:lineRule="auto"/>
        <w:ind w:firstLine="426"/>
        <w:rPr>
          <w:rFonts w:ascii="Arial" w:eastAsia="Arial" w:hAnsi="Arial" w:cs="Arial"/>
        </w:rPr>
      </w:pPr>
      <w:r w:rsidRPr="00473DD7">
        <w:rPr>
          <w:rFonts w:ascii="Arial" w:eastAsia="Arial" w:hAnsi="Arial" w:cs="Arial"/>
        </w:rPr>
        <w:t>Intriguingly, the amount of forest cover in the 200</w:t>
      </w:r>
      <w:r w:rsidR="004E2252">
        <w:rPr>
          <w:rFonts w:ascii="Arial" w:eastAsia="Arial" w:hAnsi="Arial" w:cs="Arial"/>
        </w:rPr>
        <w:t xml:space="preserve"> </w:t>
      </w:r>
      <w:r w:rsidRPr="00473DD7">
        <w:rPr>
          <w:rFonts w:ascii="Arial" w:eastAsia="Arial" w:hAnsi="Arial" w:cs="Arial"/>
        </w:rPr>
        <w:t>m buffer was the most significant predictor of AGB. This pattern was related to the average size of trees, but not with the number of trees. Hence if, as our data indicate, there is no significant interaction between forest cover and soil properties, larger trees in forested landscapes may not be related to favourable edaphic conditions, but possibly result from particular species assemblages, with greater abundance of species that grow faster during early forest recovery, as we discuss in the following section</w:t>
      </w:r>
    </w:p>
    <w:p w14:paraId="57E56E1B" w14:textId="79A819B9" w:rsidR="00D8396D" w:rsidRDefault="00D1797A" w:rsidP="00473DD7">
      <w:pPr>
        <w:pStyle w:val="Heading3"/>
        <w:spacing w:line="480" w:lineRule="auto"/>
        <w:rPr>
          <w:rFonts w:ascii="Arial" w:eastAsia="Arial" w:hAnsi="Arial" w:cs="Arial"/>
        </w:rPr>
      </w:pPr>
      <w:r>
        <w:rPr>
          <w:rFonts w:ascii="Arial" w:eastAsia="Arial" w:hAnsi="Arial" w:cs="Arial"/>
        </w:rPr>
        <w:t>Tree</w:t>
      </w:r>
      <w:r w:rsidR="00D474E6">
        <w:rPr>
          <w:rFonts w:ascii="Arial" w:eastAsia="Arial" w:hAnsi="Arial" w:cs="Arial"/>
        </w:rPr>
        <w:t xml:space="preserve"> community assemblage</w:t>
      </w:r>
    </w:p>
    <w:p w14:paraId="17BDF161" w14:textId="6D888194" w:rsidR="00D8396D" w:rsidRDefault="00D474E6" w:rsidP="00473DD7">
      <w:pPr>
        <w:spacing w:after="240" w:line="480" w:lineRule="auto"/>
        <w:ind w:firstLine="420"/>
        <w:rPr>
          <w:rFonts w:ascii="Arial" w:eastAsia="Arial" w:hAnsi="Arial" w:cs="Arial"/>
          <w:highlight w:val="yellow"/>
        </w:rPr>
      </w:pPr>
      <w:r>
        <w:rPr>
          <w:rFonts w:ascii="Arial" w:eastAsia="Arial" w:hAnsi="Arial" w:cs="Arial"/>
        </w:rPr>
        <w:t>Strong correlations were observed between AGB and species richness, as well as between AGB and exp(H), adding weight to the perspective that restoring diversity is important for AGB recovery (Perring et al. 2015b). Here, effective species number exp(H</w:t>
      </w:r>
      <w:r w:rsidR="004E2252">
        <w:rPr>
          <w:rFonts w:ascii="Arial" w:eastAsia="Arial" w:hAnsi="Arial" w:cs="Arial"/>
        </w:rPr>
        <w:t>’</w:t>
      </w:r>
      <w:r>
        <w:rPr>
          <w:rFonts w:ascii="Arial" w:eastAsia="Arial" w:hAnsi="Arial" w:cs="Arial"/>
        </w:rPr>
        <w:t>) and species richness were consistently higher in non-sandy fertile soils. Moreover, functional composition presented some clear responses to environmental variables, by means of tree-assemblage singularities.</w:t>
      </w:r>
    </w:p>
    <w:p w14:paraId="6CE1DB78" w14:textId="1272DED3" w:rsidR="00D8396D" w:rsidRDefault="00D474E6" w:rsidP="00473DD7">
      <w:pPr>
        <w:spacing w:after="240" w:line="480" w:lineRule="auto"/>
        <w:ind w:firstLine="426"/>
        <w:rPr>
          <w:rFonts w:ascii="Arial" w:eastAsia="Arial" w:hAnsi="Arial" w:cs="Arial"/>
        </w:rPr>
      </w:pPr>
      <w:r>
        <w:rPr>
          <w:rFonts w:ascii="Arial" w:eastAsia="Arial" w:hAnsi="Arial" w:cs="Arial"/>
        </w:rPr>
        <w:t>In our observations, softwood-species were highly prevalent</w:t>
      </w:r>
      <w:r w:rsidR="00F95ED9">
        <w:rPr>
          <w:rFonts w:ascii="Arial" w:eastAsia="Arial" w:hAnsi="Arial" w:cs="Arial"/>
        </w:rPr>
        <w:t>,</w:t>
      </w:r>
      <w:r>
        <w:rPr>
          <w:rFonts w:ascii="Arial" w:eastAsia="Arial" w:hAnsi="Arial" w:cs="Arial"/>
        </w:rPr>
        <w:t xml:space="preserve"> and taller-species presented a minor dominance in co</w:t>
      </w:r>
      <w:r w:rsidR="00E74D2C">
        <w:rPr>
          <w:rFonts w:ascii="Arial" w:eastAsia="Arial" w:hAnsi="Arial" w:cs="Arial"/>
        </w:rPr>
        <w:t>nditions of higher AGB recovery,</w:t>
      </w:r>
      <w:r>
        <w:rPr>
          <w:rFonts w:ascii="Arial" w:eastAsia="Arial" w:hAnsi="Arial" w:cs="Arial"/>
        </w:rPr>
        <w:t xml:space="preserve"> which is consistent with findings from Rüger et al. (2012), relating higher intrinsic growth rates to taller stature and lower WD among tropical trees. Similar relations were found by Wright et al. (2010) for fast</w:t>
      </w:r>
      <w:r w:rsidR="004E2252">
        <w:rPr>
          <w:rFonts w:ascii="Arial" w:eastAsia="Arial" w:hAnsi="Arial" w:cs="Arial"/>
        </w:rPr>
        <w:t>-</w:t>
      </w:r>
      <w:r>
        <w:rPr>
          <w:rFonts w:ascii="Arial" w:eastAsia="Arial" w:hAnsi="Arial" w:cs="Arial"/>
        </w:rPr>
        <w:t xml:space="preserve">growing and short-lived species, given they are light-demanding pioneer tropical trees, particularly benefiting from faster growth rates, which is consistent with early stages here </w:t>
      </w:r>
      <w:r>
        <w:rPr>
          <w:rFonts w:ascii="Arial" w:eastAsia="Arial" w:hAnsi="Arial" w:cs="Arial"/>
        </w:rPr>
        <w:lastRenderedPageBreak/>
        <w:t>surveyed. Biomass share among WD groups also indicated that softwood</w:t>
      </w:r>
      <w:r w:rsidR="004E2252">
        <w:rPr>
          <w:rFonts w:ascii="Arial" w:eastAsia="Arial" w:hAnsi="Arial" w:cs="Arial"/>
        </w:rPr>
        <w:t xml:space="preserve"> </w:t>
      </w:r>
      <w:r>
        <w:rPr>
          <w:rFonts w:ascii="Arial" w:eastAsia="Arial" w:hAnsi="Arial" w:cs="Arial"/>
        </w:rPr>
        <w:t xml:space="preserve">species are more sensitive to sand percentage, supporting the sand-drought relation, </w:t>
      </w:r>
      <w:r w:rsidR="004E2252">
        <w:rPr>
          <w:rFonts w:ascii="Arial" w:eastAsia="Arial" w:hAnsi="Arial" w:cs="Arial"/>
        </w:rPr>
        <w:t xml:space="preserve">which is </w:t>
      </w:r>
      <w:r>
        <w:rPr>
          <w:rFonts w:ascii="Arial" w:eastAsia="Arial" w:hAnsi="Arial" w:cs="Arial"/>
        </w:rPr>
        <w:t>also reflective of lower endurance to drought in softwood</w:t>
      </w:r>
      <w:r w:rsidR="004E2252">
        <w:rPr>
          <w:rFonts w:ascii="Arial" w:eastAsia="Arial" w:hAnsi="Arial" w:cs="Arial"/>
        </w:rPr>
        <w:t xml:space="preserve"> </w:t>
      </w:r>
      <w:r>
        <w:rPr>
          <w:rFonts w:ascii="Arial" w:eastAsia="Arial" w:hAnsi="Arial" w:cs="Arial"/>
        </w:rPr>
        <w:t>species (Poorter &amp; Markesteijn 2008). However, softwood</w:t>
      </w:r>
      <w:r w:rsidR="004E2252">
        <w:rPr>
          <w:rFonts w:ascii="Arial" w:eastAsia="Arial" w:hAnsi="Arial" w:cs="Arial"/>
        </w:rPr>
        <w:t xml:space="preserve"> </w:t>
      </w:r>
      <w:r>
        <w:rPr>
          <w:rFonts w:ascii="Arial" w:eastAsia="Arial" w:hAnsi="Arial" w:cs="Arial"/>
        </w:rPr>
        <w:t xml:space="preserve">species were predicted to be always rare </w:t>
      </w:r>
      <w:r w:rsidR="004E2252">
        <w:rPr>
          <w:rFonts w:ascii="Arial" w:eastAsia="Arial" w:hAnsi="Arial" w:cs="Arial"/>
        </w:rPr>
        <w:t xml:space="preserve">in </w:t>
      </w:r>
      <w:r>
        <w:rPr>
          <w:rFonts w:ascii="Arial" w:eastAsia="Arial" w:hAnsi="Arial" w:cs="Arial"/>
        </w:rPr>
        <w:t>poor/acidic soils, regardless of sand percentage. We did not observe taller-species prevalence in productive forest (as indicated by fertile soils), as would be predicted by increased light competition (Shamp &amp; Aarssen 2009). This lack of a relationship may be attributed to the early stage we surveyed</w:t>
      </w:r>
      <w:r w:rsidR="004E2252">
        <w:rPr>
          <w:rFonts w:ascii="Arial" w:eastAsia="Arial" w:hAnsi="Arial" w:cs="Arial"/>
        </w:rPr>
        <w:t>,</w:t>
      </w:r>
      <w:r>
        <w:rPr>
          <w:rFonts w:ascii="Arial" w:eastAsia="Arial" w:hAnsi="Arial" w:cs="Arial"/>
        </w:rPr>
        <w:t xml:space="preserve"> when growth speed is more important to AGB composition than the achievable height or longevity. However, under unfavourable edaphic conditions, </w:t>
      </w:r>
      <w:r w:rsidR="004E2252">
        <w:rPr>
          <w:rFonts w:ascii="Arial" w:eastAsia="Arial" w:hAnsi="Arial" w:cs="Arial"/>
        </w:rPr>
        <w:t xml:space="preserve">reduced </w:t>
      </w:r>
      <w:r>
        <w:rPr>
          <w:rFonts w:ascii="Arial" w:eastAsia="Arial" w:hAnsi="Arial" w:cs="Arial"/>
        </w:rPr>
        <w:t>contributions from taller and/or softwood</w:t>
      </w:r>
      <w:r w:rsidR="004E2252">
        <w:rPr>
          <w:rFonts w:ascii="Arial" w:eastAsia="Arial" w:hAnsi="Arial" w:cs="Arial"/>
        </w:rPr>
        <w:t xml:space="preserve"> </w:t>
      </w:r>
      <w:r>
        <w:rPr>
          <w:rFonts w:ascii="Arial" w:eastAsia="Arial" w:hAnsi="Arial" w:cs="Arial"/>
        </w:rPr>
        <w:t xml:space="preserve">species is potentially a persistent pattern, given that the </w:t>
      </w:r>
      <w:r w:rsidR="004E2252">
        <w:rPr>
          <w:rFonts w:ascii="Arial" w:eastAsia="Arial" w:hAnsi="Arial" w:cs="Arial"/>
        </w:rPr>
        <w:t xml:space="preserve">reduced </w:t>
      </w:r>
      <w:r>
        <w:rPr>
          <w:rFonts w:ascii="Arial" w:eastAsia="Arial" w:hAnsi="Arial" w:cs="Arial"/>
        </w:rPr>
        <w:t>AGB uptake evident under these conditions is still far smaller than expectations for tropical forest succession.</w:t>
      </w:r>
    </w:p>
    <w:p w14:paraId="2FAD8481" w14:textId="08B54FB7" w:rsidR="00D8396D" w:rsidRPr="00660394" w:rsidRDefault="00AB240C" w:rsidP="00473DD7">
      <w:pPr>
        <w:spacing w:after="240" w:line="480" w:lineRule="auto"/>
        <w:ind w:firstLine="426"/>
        <w:rPr>
          <w:rFonts w:ascii="Arial" w:eastAsia="Arial" w:hAnsi="Arial" w:cs="Arial"/>
        </w:rPr>
      </w:pPr>
      <w:r w:rsidRPr="00660394">
        <w:rPr>
          <w:rFonts w:ascii="Arial" w:eastAsia="Arial" w:hAnsi="Arial" w:cs="Arial"/>
        </w:rPr>
        <w:t>Above</w:t>
      </w:r>
      <w:r w:rsidR="004E2252" w:rsidRPr="00660394">
        <w:rPr>
          <w:rFonts w:ascii="Arial" w:eastAsia="Arial" w:hAnsi="Arial" w:cs="Arial"/>
        </w:rPr>
        <w:t>-</w:t>
      </w:r>
      <w:r w:rsidRPr="00660394">
        <w:rPr>
          <w:rFonts w:ascii="Arial" w:eastAsia="Arial" w:hAnsi="Arial" w:cs="Arial"/>
        </w:rPr>
        <w:t xml:space="preserve">ground biomass from forest-specialists </w:t>
      </w:r>
      <w:r w:rsidR="00D474E6" w:rsidRPr="00660394">
        <w:rPr>
          <w:rFonts w:ascii="Arial" w:eastAsia="Arial" w:hAnsi="Arial" w:cs="Arial"/>
        </w:rPr>
        <w:t xml:space="preserve">presented a high sensitivity to sand concentration, and this can be considered particularly challenging for biodiversity conservation </w:t>
      </w:r>
      <w:r w:rsidR="004E2252" w:rsidRPr="00660394">
        <w:rPr>
          <w:rFonts w:ascii="Arial" w:eastAsia="Arial" w:hAnsi="Arial" w:cs="Arial"/>
        </w:rPr>
        <w:t xml:space="preserve">because </w:t>
      </w:r>
      <w:r w:rsidR="00D474E6" w:rsidRPr="00660394">
        <w:rPr>
          <w:rFonts w:ascii="Arial" w:eastAsia="Arial" w:hAnsi="Arial" w:cs="Arial"/>
        </w:rPr>
        <w:t>the pool of species which better represents the restoration target are predicted to disappear where sand percentage is greater than 55%. Also, the rarity of forest</w:t>
      </w:r>
      <w:r w:rsidR="004E2252" w:rsidRPr="00660394">
        <w:rPr>
          <w:rFonts w:ascii="Arial" w:eastAsia="Arial" w:hAnsi="Arial" w:cs="Arial"/>
        </w:rPr>
        <w:t xml:space="preserve"> </w:t>
      </w:r>
      <w:r w:rsidR="00D474E6" w:rsidRPr="00660394">
        <w:rPr>
          <w:rFonts w:ascii="Arial" w:eastAsia="Arial" w:hAnsi="Arial" w:cs="Arial"/>
        </w:rPr>
        <w:t>specialists in sandier, and c</w:t>
      </w:r>
      <w:r w:rsidR="00E74D2C" w:rsidRPr="00660394">
        <w:rPr>
          <w:rFonts w:ascii="Arial" w:eastAsia="Arial" w:hAnsi="Arial" w:cs="Arial"/>
        </w:rPr>
        <w:t>onsequently</w:t>
      </w:r>
      <w:r w:rsidR="004E2252" w:rsidRPr="00660394">
        <w:rPr>
          <w:rFonts w:ascii="Arial" w:eastAsia="Arial" w:hAnsi="Arial" w:cs="Arial"/>
        </w:rPr>
        <w:t xml:space="preserve"> </w:t>
      </w:r>
      <w:r w:rsidR="00E74D2C" w:rsidRPr="00660394">
        <w:rPr>
          <w:rFonts w:ascii="Arial" w:eastAsia="Arial" w:hAnsi="Arial" w:cs="Arial"/>
        </w:rPr>
        <w:t>drier, environments</w:t>
      </w:r>
      <w:r w:rsidR="00D474E6" w:rsidRPr="00660394">
        <w:rPr>
          <w:rFonts w:ascii="Arial" w:eastAsia="Arial" w:hAnsi="Arial" w:cs="Arial"/>
        </w:rPr>
        <w:t xml:space="preserve"> may be a pattern that persists into the future, </w:t>
      </w:r>
      <w:r w:rsidR="004E2252" w:rsidRPr="00660394">
        <w:rPr>
          <w:rFonts w:ascii="Arial" w:eastAsia="Arial" w:hAnsi="Arial" w:cs="Arial"/>
        </w:rPr>
        <w:t xml:space="preserve">because </w:t>
      </w:r>
      <w:r w:rsidR="00D474E6" w:rsidRPr="00660394">
        <w:rPr>
          <w:rFonts w:ascii="Arial" w:eastAsia="Arial" w:hAnsi="Arial" w:cs="Arial"/>
        </w:rPr>
        <w:t>the positive effect from forest cover was only significant for gener</w:t>
      </w:r>
      <w:r w:rsidR="00E74D2C" w:rsidRPr="00660394">
        <w:rPr>
          <w:rFonts w:ascii="Arial" w:eastAsia="Arial" w:hAnsi="Arial" w:cs="Arial"/>
        </w:rPr>
        <w:t>alist-species and shorter trees;</w:t>
      </w:r>
      <w:r w:rsidR="00D474E6" w:rsidRPr="00660394">
        <w:rPr>
          <w:rFonts w:ascii="Arial" w:eastAsia="Arial" w:hAnsi="Arial" w:cs="Arial"/>
        </w:rPr>
        <w:t xml:space="preserve"> then forest-specialist-species are unlikely to arrive from neighbouring forests. </w:t>
      </w:r>
    </w:p>
    <w:p w14:paraId="528EE6FE" w14:textId="4C424EB7" w:rsidR="00473DD7" w:rsidRPr="00660394" w:rsidRDefault="00D474E6" w:rsidP="00473DD7">
      <w:pPr>
        <w:spacing w:after="240" w:line="480" w:lineRule="auto"/>
        <w:ind w:firstLine="426"/>
        <w:rPr>
          <w:rFonts w:ascii="Arial" w:eastAsia="Arial" w:hAnsi="Arial" w:cs="Arial"/>
        </w:rPr>
      </w:pPr>
      <w:r w:rsidRPr="00660394">
        <w:rPr>
          <w:rFonts w:ascii="Arial" w:eastAsia="Arial" w:hAnsi="Arial" w:cs="Arial"/>
        </w:rPr>
        <w:t xml:space="preserve">In part, the local diversity we have surveyed reflects the status of regional diversity (following Ricklefs, 1987), and we note that a large proportion of current Atlantic </w:t>
      </w:r>
      <w:r w:rsidR="0021737E" w:rsidRPr="00660394">
        <w:rPr>
          <w:rFonts w:ascii="Arial" w:eastAsia="Arial" w:hAnsi="Arial" w:cs="Arial"/>
        </w:rPr>
        <w:t>F</w:t>
      </w:r>
      <w:r w:rsidRPr="00660394">
        <w:rPr>
          <w:rFonts w:ascii="Arial" w:eastAsia="Arial" w:hAnsi="Arial" w:cs="Arial"/>
        </w:rPr>
        <w:t xml:space="preserve">orest is relatively recent second growth (Lira et al. 2012), favouring short-living and fast-growing pioneer species.  Pardini et al. (2010) showed an abrupt loss of forest-specialist taxa (but not </w:t>
      </w:r>
      <w:r w:rsidRPr="00660394">
        <w:rPr>
          <w:rFonts w:ascii="Arial" w:eastAsia="Arial" w:hAnsi="Arial" w:cs="Arial"/>
        </w:rPr>
        <w:lastRenderedPageBreak/>
        <w:t>habitat</w:t>
      </w:r>
      <w:r w:rsidR="004E2252" w:rsidRPr="00660394">
        <w:rPr>
          <w:rFonts w:ascii="Arial" w:eastAsia="Arial" w:hAnsi="Arial" w:cs="Arial"/>
        </w:rPr>
        <w:t xml:space="preserve"> </w:t>
      </w:r>
      <w:r w:rsidRPr="00660394">
        <w:rPr>
          <w:rFonts w:ascii="Arial" w:eastAsia="Arial" w:hAnsi="Arial" w:cs="Arial"/>
        </w:rPr>
        <w:t>generalists), in landscapes where Brazilian Atlantic Forest cover was reduced to between 31% and 11%. In the present study, half of the landscapes were above 11% forest cover, and only 3 in 32 restoration sites presented more than 31% of forest cover. Therefore, the positive correlation between forest cover and the relative abundance of habitat generalist-species is the expected pattern since remnant forests are largely disturbed and because high forest cover rates (e.g. &gt;50%) were never found in our study region.</w:t>
      </w:r>
      <w:r w:rsidR="00473DD7" w:rsidRPr="00660394">
        <w:rPr>
          <w:rFonts w:ascii="Arial" w:eastAsia="Arial" w:hAnsi="Arial" w:cs="Arial"/>
        </w:rPr>
        <w:t xml:space="preserve"> </w:t>
      </w:r>
    </w:p>
    <w:p w14:paraId="2EC110B9" w14:textId="647E8B82" w:rsidR="00D8396D" w:rsidRDefault="00473DD7" w:rsidP="00473DD7">
      <w:pPr>
        <w:spacing w:after="240" w:line="480" w:lineRule="auto"/>
        <w:ind w:firstLine="426"/>
        <w:rPr>
          <w:rFonts w:ascii="Arial" w:eastAsia="Arial" w:hAnsi="Arial" w:cs="Arial"/>
          <w:sz w:val="24"/>
          <w:szCs w:val="24"/>
        </w:rPr>
      </w:pPr>
      <w:r w:rsidRPr="00660394">
        <w:rPr>
          <w:rFonts w:ascii="Arial" w:eastAsia="Arial" w:hAnsi="Arial" w:cs="Arial"/>
        </w:rPr>
        <w:t xml:space="preserve">A lower regional level of diversity, together with poor dispersal, implies the surpassing of a biotic threshold for recovery (Hobbs et al. 2009). On the other hand, the general absence of endemic old-growth forest-species on sandy soils could indicate an abiotic threshold to recovery. These ideas require further testing, accompanied by monitoring of restoration sites. Future studies could also benefit from the compositional description of neighbouring forests, together with target restoration sites being surrounded by greater variation in forest cover than investigated here (Table SI3). If sufficient variation in both these variables could be assessed, i.e. multiple community compositions at multiple different forest covers, it may be possible to segregate the importance of dispersal limitation and </w:t>
      </w:r>
      <w:r w:rsidR="004E2252" w:rsidRPr="00660394">
        <w:rPr>
          <w:rFonts w:ascii="Arial" w:eastAsia="Arial" w:hAnsi="Arial" w:cs="Arial"/>
        </w:rPr>
        <w:t xml:space="preserve">reduced </w:t>
      </w:r>
      <w:r w:rsidRPr="00660394">
        <w:rPr>
          <w:rFonts w:ascii="Arial" w:eastAsia="Arial" w:hAnsi="Arial" w:cs="Arial"/>
        </w:rPr>
        <w:t>regional diversity on the success of restoration in target sites</w:t>
      </w:r>
      <w:r w:rsidRPr="00473DD7">
        <w:rPr>
          <w:rFonts w:ascii="Arial" w:eastAsia="Arial" w:hAnsi="Arial" w:cs="Arial"/>
          <w:sz w:val="24"/>
          <w:szCs w:val="24"/>
        </w:rPr>
        <w:t>.</w:t>
      </w:r>
    </w:p>
    <w:p w14:paraId="28606A72" w14:textId="68DEBA20" w:rsidR="00D8396D" w:rsidRDefault="00D474E6" w:rsidP="00473DD7">
      <w:pPr>
        <w:pStyle w:val="Heading3"/>
        <w:spacing w:line="480" w:lineRule="auto"/>
        <w:rPr>
          <w:rFonts w:ascii="Arial" w:eastAsia="Arial" w:hAnsi="Arial" w:cs="Arial"/>
        </w:rPr>
      </w:pPr>
      <w:r>
        <w:rPr>
          <w:rFonts w:ascii="Arial" w:eastAsia="Arial" w:hAnsi="Arial" w:cs="Arial"/>
        </w:rPr>
        <w:t xml:space="preserve">Implications for restoration planners and practitioners </w:t>
      </w:r>
    </w:p>
    <w:p w14:paraId="15E05874" w14:textId="4589D404" w:rsidR="00D8396D" w:rsidRDefault="00D474E6" w:rsidP="00473DD7">
      <w:pPr>
        <w:spacing w:line="480" w:lineRule="auto"/>
        <w:ind w:firstLine="426"/>
      </w:pPr>
      <w:r>
        <w:rPr>
          <w:rFonts w:ascii="Arial" w:eastAsia="Arial" w:hAnsi="Arial" w:cs="Arial"/>
        </w:rPr>
        <w:t>Palmer et al. (1997) highlight the importance of finding the appropriate spatial scale for successfully restoring ecosystem function. Our AGB model demonstrates the relevance of recovery drivers operating at the local scale: there was no influence of forest cover at radii of 400 and 800 m, while there was significant variation in AGB, which reflected the large variation in soil properties among watersheds. Similarly, Holl &amp; Zahawi (2014) have pointed that edaphic conditions may greatly vary across short distances in a tropical region</w:t>
      </w:r>
      <w:r w:rsidR="004E2252">
        <w:rPr>
          <w:rFonts w:ascii="Arial" w:eastAsia="Arial" w:hAnsi="Arial" w:cs="Arial"/>
        </w:rPr>
        <w:t>.</w:t>
      </w:r>
      <w:r>
        <w:rPr>
          <w:rFonts w:ascii="Arial" w:eastAsia="Arial" w:hAnsi="Arial" w:cs="Arial"/>
        </w:rPr>
        <w:t xml:space="preserve"> Also, Rezende et al. (2015), Kauano et al. (2013) and Souza et al. (2013) reported the limited </w:t>
      </w:r>
      <w:r>
        <w:rPr>
          <w:rFonts w:ascii="Arial" w:eastAsia="Arial" w:hAnsi="Arial" w:cs="Arial"/>
        </w:rPr>
        <w:lastRenderedPageBreak/>
        <w:t xml:space="preserve">reach of benefits from remnant habitat proximity (up to 200 m). These findings indicate that landscape heterogeneity within 200 m must be assessed in restoration actions. </w:t>
      </w:r>
    </w:p>
    <w:p w14:paraId="5AAE2717" w14:textId="37D9ECFE" w:rsidR="00D8396D" w:rsidRDefault="00D474E6" w:rsidP="00473DD7">
      <w:pPr>
        <w:spacing w:after="240" w:line="480" w:lineRule="auto"/>
        <w:ind w:firstLine="420"/>
        <w:rPr>
          <w:rFonts w:ascii="Arial" w:eastAsia="Arial" w:hAnsi="Arial" w:cs="Arial"/>
        </w:rPr>
      </w:pPr>
      <w:r>
        <w:rPr>
          <w:rFonts w:ascii="Arial" w:eastAsia="Arial" w:hAnsi="Arial" w:cs="Arial"/>
        </w:rPr>
        <w:t xml:space="preserve">Restoration practitioners can easily assess the environmental predictors we evaluated in this study in the pre-implementation phase, i.e. when planning where and what to restore. Simple mitigation actions may be effective in some conditions, but these require tests and observation. </w:t>
      </w:r>
      <w:r w:rsidR="004E2252">
        <w:rPr>
          <w:rFonts w:ascii="Arial" w:eastAsia="Arial" w:hAnsi="Arial" w:cs="Arial"/>
        </w:rPr>
        <w:t>R</w:t>
      </w:r>
      <w:r>
        <w:rPr>
          <w:rFonts w:ascii="Arial" w:eastAsia="Arial" w:hAnsi="Arial" w:cs="Arial"/>
        </w:rPr>
        <w:t>estoration assessment standards (e.g. Chaves et al. 2015) can be usefully applied to boost this learning process, along with updating and fine-tuning outcome predictions. For example, predictive models could be improved by quantifying the effect of techniques to increase soil water-holding capacity (e.g. organic matter or biochar incorporation) or ameliorate the microclimate (e.g. windbreaks or buffering woody agriculture) on restoration success. Also, acknowledging the land-use legacy effect on ecosystem recovery may also indicate how current agricultural practices can avoid creating hostile environments for future recovery (e.g. by implementing soil conservation and habitat protection practices).</w:t>
      </w:r>
    </w:p>
    <w:p w14:paraId="18CB74A1" w14:textId="77777777" w:rsidR="00D8396D" w:rsidRDefault="00D474E6" w:rsidP="00473DD7">
      <w:pPr>
        <w:pStyle w:val="Heading2"/>
        <w:spacing w:line="480" w:lineRule="auto"/>
        <w:rPr>
          <w:rFonts w:ascii="Arial" w:eastAsia="Arial" w:hAnsi="Arial" w:cs="Arial"/>
        </w:rPr>
      </w:pPr>
      <w:bookmarkStart w:id="13" w:name="3rdcrjn" w:colFirst="0" w:colLast="0"/>
      <w:bookmarkEnd w:id="13"/>
      <w:r>
        <w:rPr>
          <w:rFonts w:ascii="Arial" w:eastAsia="Arial" w:hAnsi="Arial" w:cs="Arial"/>
        </w:rPr>
        <w:t>VI-CONCLUSION</w:t>
      </w:r>
    </w:p>
    <w:p w14:paraId="50460826" w14:textId="5FB5683C" w:rsidR="00D8396D" w:rsidRDefault="00D474E6" w:rsidP="00473DD7">
      <w:pPr>
        <w:spacing w:after="240" w:line="480" w:lineRule="auto"/>
        <w:ind w:firstLine="420"/>
        <w:rPr>
          <w:rFonts w:ascii="Arial" w:eastAsia="Arial" w:hAnsi="Arial" w:cs="Arial"/>
        </w:rPr>
      </w:pPr>
      <w:bookmarkStart w:id="14" w:name="_26in1rg" w:colFirst="0" w:colLast="0"/>
      <w:bookmarkEnd w:id="14"/>
      <w:r>
        <w:rPr>
          <w:rFonts w:ascii="Arial" w:eastAsia="Arial" w:hAnsi="Arial" w:cs="Arial"/>
        </w:rPr>
        <w:t>We have shown that sandy soils can severely constrain tropical forest restoration, that favourable</w:t>
      </w:r>
      <w:r w:rsidR="000D651E">
        <w:rPr>
          <w:rFonts w:ascii="Arial" w:eastAsia="Arial" w:hAnsi="Arial" w:cs="Arial"/>
        </w:rPr>
        <w:t xml:space="preserve"> soil</w:t>
      </w:r>
      <w:r>
        <w:rPr>
          <w:rFonts w:ascii="Arial" w:eastAsia="Arial" w:hAnsi="Arial" w:cs="Arial"/>
        </w:rPr>
        <w:t xml:space="preserve"> chemical </w:t>
      </w:r>
      <w:r w:rsidR="000D651E">
        <w:rPr>
          <w:rFonts w:ascii="Arial" w:eastAsia="Arial" w:hAnsi="Arial" w:cs="Arial"/>
        </w:rPr>
        <w:t xml:space="preserve">properties </w:t>
      </w:r>
      <w:r>
        <w:rPr>
          <w:rFonts w:ascii="Arial" w:eastAsia="Arial" w:hAnsi="Arial" w:cs="Arial"/>
        </w:rPr>
        <w:t xml:space="preserve">are highly effective at promoting AGB in non-sandy soils, and that neighbouring forest cover consistently supported woody biomass recovery. Along with total AGB response, the </w:t>
      </w:r>
      <w:r w:rsidR="004E2252">
        <w:rPr>
          <w:rFonts w:ascii="Arial" w:eastAsia="Arial" w:hAnsi="Arial" w:cs="Arial"/>
        </w:rPr>
        <w:t>tree-</w:t>
      </w:r>
      <w:r>
        <w:rPr>
          <w:rFonts w:ascii="Arial" w:eastAsia="Arial" w:hAnsi="Arial" w:cs="Arial"/>
        </w:rPr>
        <w:t>community composition changed with varying environmental conditions. In these early stages of recovery, biomass from softwoods and forest-specialist species was particularly sensitive to sand percentage, and AGB from small trees and generalist</w:t>
      </w:r>
      <w:r w:rsidR="004E2252">
        <w:rPr>
          <w:rFonts w:ascii="Arial" w:eastAsia="Arial" w:hAnsi="Arial" w:cs="Arial"/>
        </w:rPr>
        <w:t xml:space="preserve"> </w:t>
      </w:r>
      <w:r>
        <w:rPr>
          <w:rFonts w:ascii="Arial" w:eastAsia="Arial" w:hAnsi="Arial" w:cs="Arial"/>
        </w:rPr>
        <w:t>species was the most positively affected by forest cover. Notably, forest</w:t>
      </w:r>
      <w:r w:rsidR="004E2252">
        <w:rPr>
          <w:rFonts w:ascii="Arial" w:eastAsia="Arial" w:hAnsi="Arial" w:cs="Arial"/>
        </w:rPr>
        <w:t xml:space="preserve"> </w:t>
      </w:r>
      <w:r>
        <w:rPr>
          <w:rFonts w:ascii="Arial" w:eastAsia="Arial" w:hAnsi="Arial" w:cs="Arial"/>
        </w:rPr>
        <w:t xml:space="preserve">specialist-species were absent in </w:t>
      </w:r>
      <w:r w:rsidR="004E2252">
        <w:rPr>
          <w:rFonts w:ascii="Arial" w:eastAsia="Arial" w:hAnsi="Arial" w:cs="Arial"/>
        </w:rPr>
        <w:t>drought-</w:t>
      </w:r>
      <w:r>
        <w:rPr>
          <w:rFonts w:ascii="Arial" w:eastAsia="Arial" w:hAnsi="Arial" w:cs="Arial"/>
        </w:rPr>
        <w:t xml:space="preserve">prone sites whenever sand percentage increased above 55%. Our results corroborate the need for </w:t>
      </w:r>
      <w:r w:rsidR="004E2252">
        <w:rPr>
          <w:rFonts w:ascii="Arial" w:eastAsia="Arial" w:hAnsi="Arial" w:cs="Arial"/>
        </w:rPr>
        <w:t>fine-</w:t>
      </w:r>
      <w:r>
        <w:rPr>
          <w:rFonts w:ascii="Arial" w:eastAsia="Arial" w:hAnsi="Arial" w:cs="Arial"/>
        </w:rPr>
        <w:t xml:space="preserve">scale evaluations to predict restoration </w:t>
      </w:r>
      <w:r>
        <w:rPr>
          <w:rFonts w:ascii="Arial" w:eastAsia="Arial" w:hAnsi="Arial" w:cs="Arial"/>
        </w:rPr>
        <w:lastRenderedPageBreak/>
        <w:t xml:space="preserve">outcomes and suggest that degradation associated with agricultural practices constrains the likelihood of restoration to pre-disturbance conditions, particularly where soil has been degraded and/or massive deforestation has been </w:t>
      </w:r>
      <w:r w:rsidR="000D651E">
        <w:rPr>
          <w:rFonts w:ascii="Arial" w:eastAsia="Arial" w:hAnsi="Arial" w:cs="Arial"/>
        </w:rPr>
        <w:t>carried out</w:t>
      </w:r>
      <w:r>
        <w:rPr>
          <w:rFonts w:ascii="Arial" w:eastAsia="Arial" w:hAnsi="Arial" w:cs="Arial"/>
        </w:rPr>
        <w:t xml:space="preserve">. </w:t>
      </w:r>
      <w:r w:rsidR="00D03744">
        <w:rPr>
          <w:rFonts w:ascii="Arial" w:eastAsia="Arial" w:hAnsi="Arial" w:cs="Arial"/>
        </w:rPr>
        <w:t xml:space="preserve"> </w:t>
      </w:r>
      <w:r>
        <w:rPr>
          <w:rFonts w:ascii="Arial" w:eastAsia="Arial" w:hAnsi="Arial" w:cs="Arial"/>
        </w:rPr>
        <w:t xml:space="preserve">When abiotic conditions are favourable, native tree planting may likely be a successful technique depending on biological drivers of forest succession. However, further abiotic disturbance implies the necessity of manipulating edaphic conditions, coupled with the </w:t>
      </w:r>
      <w:r w:rsidR="00D1797A">
        <w:rPr>
          <w:rFonts w:ascii="Arial" w:eastAsia="Arial" w:hAnsi="Arial" w:cs="Arial"/>
        </w:rPr>
        <w:t>long-term</w:t>
      </w:r>
      <w:r>
        <w:rPr>
          <w:rFonts w:ascii="Arial" w:eastAsia="Arial" w:hAnsi="Arial" w:cs="Arial"/>
        </w:rPr>
        <w:t xml:space="preserve"> presence of alternative communities. Given projections for increasing drought in this region, across scales, alternative restoration targets must be considered for drought-prone conditions.</w:t>
      </w:r>
    </w:p>
    <w:p w14:paraId="29B37478" w14:textId="77777777" w:rsidR="00D8396D" w:rsidRDefault="00D474E6" w:rsidP="00473DD7">
      <w:pPr>
        <w:pStyle w:val="Heading2"/>
        <w:spacing w:line="480" w:lineRule="auto"/>
        <w:rPr>
          <w:rFonts w:ascii="Arial" w:eastAsia="Arial" w:hAnsi="Arial" w:cs="Arial"/>
        </w:rPr>
      </w:pPr>
      <w:r>
        <w:rPr>
          <w:rFonts w:ascii="Arial" w:eastAsia="Arial" w:hAnsi="Arial" w:cs="Arial"/>
        </w:rPr>
        <w:t>VII-ACKNOWLEDGEMENTS</w:t>
      </w:r>
    </w:p>
    <w:p w14:paraId="6487F130" w14:textId="77777777" w:rsidR="00D8396D" w:rsidRDefault="00D474E6" w:rsidP="00473DD7">
      <w:pPr>
        <w:spacing w:after="240" w:line="480" w:lineRule="auto"/>
        <w:ind w:firstLine="420"/>
        <w:rPr>
          <w:rFonts w:ascii="Arial" w:eastAsia="Arial" w:hAnsi="Arial" w:cs="Arial"/>
        </w:rPr>
      </w:pPr>
      <w:r>
        <w:rPr>
          <w:rFonts w:ascii="Arial" w:eastAsia="Arial" w:hAnsi="Arial" w:cs="Arial"/>
        </w:rPr>
        <w:t xml:space="preserve">The authors gratefully acknowledge the financial support - grant 2013/24851-0, São Paulo Research Foundation (FAPESP), and cooperation from Biodiversity and Natural Resources Coordination – CBRN - São Paulo state). We thank </w:t>
      </w:r>
      <w:r w:rsidRPr="00B2646B">
        <w:rPr>
          <w:rFonts w:ascii="Arial" w:eastAsia="Arial" w:hAnsi="Arial" w:cs="Arial"/>
        </w:rPr>
        <w:t>two anonymous reviewers, Adriana Martini, Mara Marinho and Marcelo Ferreira for valuable comments on earlier drafts of this article</w:t>
      </w:r>
      <w:r w:rsidR="0008774F">
        <w:rPr>
          <w:rFonts w:ascii="Arial" w:eastAsia="Arial" w:hAnsi="Arial" w:cs="Arial"/>
        </w:rPr>
        <w:t xml:space="preserve">. </w:t>
      </w:r>
      <w:r w:rsidR="0008774F" w:rsidRPr="0008774F">
        <w:rPr>
          <w:rFonts w:ascii="Arial" w:eastAsia="Arial" w:hAnsi="Arial" w:cs="Arial"/>
        </w:rPr>
        <w:t>The authors declare no conflict of interest.</w:t>
      </w:r>
    </w:p>
    <w:p w14:paraId="4E3CB739" w14:textId="77777777" w:rsidR="00D8396D" w:rsidRDefault="00D474E6" w:rsidP="00473DD7">
      <w:pPr>
        <w:pStyle w:val="Heading2"/>
        <w:spacing w:line="480" w:lineRule="auto"/>
        <w:rPr>
          <w:rFonts w:ascii="Arial" w:eastAsia="Arial" w:hAnsi="Arial" w:cs="Arial"/>
        </w:rPr>
      </w:pPr>
      <w:r>
        <w:rPr>
          <w:rFonts w:ascii="Arial" w:eastAsia="Arial" w:hAnsi="Arial" w:cs="Arial"/>
        </w:rPr>
        <w:t>VIII-REFERENCES</w:t>
      </w:r>
    </w:p>
    <w:p w14:paraId="67665C76" w14:textId="6BBF5DC1" w:rsidR="00D8396D" w:rsidRPr="00660394" w:rsidRDefault="00D474E6" w:rsidP="00473DD7">
      <w:pPr>
        <w:spacing w:line="480" w:lineRule="auto"/>
        <w:ind w:left="142" w:hanging="142"/>
        <w:rPr>
          <w:rFonts w:ascii="Arial" w:eastAsia="Arial" w:hAnsi="Arial" w:cs="Arial"/>
        </w:rPr>
      </w:pPr>
      <w:r>
        <w:rPr>
          <w:rFonts w:ascii="Arial" w:eastAsia="Arial" w:hAnsi="Arial" w:cs="Arial"/>
        </w:rPr>
        <w:t>Allen, C.D., Breshears, D.D. &amp; McDowell, N.G. 2015. On underestimation of global vulnerability to tree mortality and forest die</w:t>
      </w:r>
      <w:r>
        <w:rPr>
          <w:rFonts w:ascii="Cambria Math" w:eastAsia="Cambria Math" w:hAnsi="Cambria Math" w:cs="Cambria Math"/>
        </w:rPr>
        <w:t>‐</w:t>
      </w:r>
      <w:r>
        <w:rPr>
          <w:rFonts w:ascii="Arial" w:eastAsia="Arial" w:hAnsi="Arial" w:cs="Arial"/>
        </w:rPr>
        <w:t xml:space="preserve">off from hotter drought in the Anthropocene. </w:t>
      </w:r>
      <w:r w:rsidRPr="00660394">
        <w:rPr>
          <w:rFonts w:ascii="Arial" w:eastAsia="Arial" w:hAnsi="Arial" w:cs="Arial"/>
        </w:rPr>
        <w:t>Ecosphere 6: 1-55.</w:t>
      </w:r>
    </w:p>
    <w:p w14:paraId="66ECA50E" w14:textId="49F62957" w:rsidR="00D8396D" w:rsidRDefault="00D474E6">
      <w:pPr>
        <w:spacing w:line="480" w:lineRule="auto"/>
        <w:ind w:left="142" w:hanging="142"/>
        <w:rPr>
          <w:rFonts w:ascii="Arial" w:eastAsia="Arial" w:hAnsi="Arial" w:cs="Arial"/>
        </w:rPr>
      </w:pPr>
      <w:r>
        <w:rPr>
          <w:rFonts w:ascii="Arial" w:eastAsia="Arial" w:hAnsi="Arial" w:cs="Arial"/>
        </w:rPr>
        <w:t>Baeten, L., Bauwens, B., De Schrijver, A., De Keersmaeker, L., Van Calster, H., Vandekerkhove, K., Roelandt, B., Beeckman, H. &amp; Verheyen, K. 2009. Herb layer changes (1954</w:t>
      </w:r>
      <w:r>
        <w:rPr>
          <w:rFonts w:ascii="Cambria Math" w:eastAsia="Cambria Math" w:hAnsi="Cambria Math" w:cs="Cambria Math"/>
        </w:rPr>
        <w:t>‐</w:t>
      </w:r>
      <w:r>
        <w:rPr>
          <w:rFonts w:ascii="Arial" w:eastAsia="Arial" w:hAnsi="Arial" w:cs="Arial"/>
        </w:rPr>
        <w:t>2000) related to the conversion of coppice</w:t>
      </w:r>
      <w:r>
        <w:rPr>
          <w:rFonts w:ascii="Cambria Math" w:eastAsia="Cambria Math" w:hAnsi="Cambria Math" w:cs="Cambria Math"/>
        </w:rPr>
        <w:t>‐</w:t>
      </w:r>
      <w:r>
        <w:rPr>
          <w:rFonts w:ascii="Arial" w:eastAsia="Arial" w:hAnsi="Arial" w:cs="Arial"/>
        </w:rPr>
        <w:t>with</w:t>
      </w:r>
      <w:r>
        <w:rPr>
          <w:rFonts w:ascii="Cambria Math" w:eastAsia="Cambria Math" w:hAnsi="Cambria Math" w:cs="Cambria Math"/>
        </w:rPr>
        <w:t>‐</w:t>
      </w:r>
      <w:r>
        <w:rPr>
          <w:rFonts w:ascii="Arial" w:eastAsia="Arial" w:hAnsi="Arial" w:cs="Arial"/>
        </w:rPr>
        <w:t>standards forest and soil acidification. Applied Vegetation Science 12: 187-197.</w:t>
      </w:r>
    </w:p>
    <w:p w14:paraId="1F850319" w14:textId="77777777" w:rsidR="00D8396D" w:rsidRDefault="00D474E6">
      <w:pPr>
        <w:spacing w:line="480" w:lineRule="auto"/>
        <w:ind w:left="142" w:hanging="142"/>
        <w:rPr>
          <w:rFonts w:ascii="Arial" w:eastAsia="Arial" w:hAnsi="Arial" w:cs="Arial"/>
        </w:rPr>
      </w:pPr>
      <w:r>
        <w:rPr>
          <w:rFonts w:ascii="Arial" w:eastAsia="Arial" w:hAnsi="Arial" w:cs="Arial"/>
        </w:rPr>
        <w:t xml:space="preserve">Baker, T.P., Jordan, G.J., Steel, E.A., Fountain-Jones, N.M., Wardlaw, T.J. &amp; Baker, S.C. </w:t>
      </w:r>
      <w:r>
        <w:rPr>
          <w:rFonts w:ascii="Arial" w:eastAsia="Arial" w:hAnsi="Arial" w:cs="Arial"/>
        </w:rPr>
        <w:lastRenderedPageBreak/>
        <w:t xml:space="preserve">2014. Microclimate through space and time: Microclimatic variation at the edge of regeneration forests over daily, yearly and decadal time scales. Forest Ecology Management 334: 174–184. </w:t>
      </w:r>
    </w:p>
    <w:p w14:paraId="4CD496F8" w14:textId="467FF9A4" w:rsidR="00D8396D" w:rsidRDefault="00D474E6">
      <w:pPr>
        <w:spacing w:line="480" w:lineRule="auto"/>
        <w:ind w:left="142" w:hanging="142"/>
        <w:rPr>
          <w:rFonts w:ascii="Arial" w:eastAsia="Arial" w:hAnsi="Arial" w:cs="Arial"/>
        </w:rPr>
      </w:pPr>
      <w:r>
        <w:rPr>
          <w:rFonts w:ascii="Arial" w:eastAsia="Arial" w:hAnsi="Arial" w:cs="Arial"/>
        </w:rPr>
        <w:t>Banks-Leite, C., Pardini, R., Tambosi, L.R., Pearse, W.D., Bueno, A.A., Bruscagin, R.T., Condez, T.H., Dixo, M., Igari, A.T., Martensen, A.C. &amp; Metzger, J.P., 2014. Using ecological thresholds to evaluate the costs and benefits of set-asides in a biodiversity hotspot. Science, 345</w:t>
      </w:r>
      <w:r w:rsidR="00B722EC">
        <w:rPr>
          <w:rFonts w:ascii="Arial" w:eastAsia="Arial" w:hAnsi="Arial" w:cs="Arial"/>
        </w:rPr>
        <w:t xml:space="preserve">: </w:t>
      </w:r>
      <w:r>
        <w:rPr>
          <w:rFonts w:ascii="Arial" w:eastAsia="Arial" w:hAnsi="Arial" w:cs="Arial"/>
        </w:rPr>
        <w:t>1041-1045.</w:t>
      </w:r>
    </w:p>
    <w:p w14:paraId="12B08D7A" w14:textId="7650BC5D" w:rsidR="00D8396D" w:rsidRDefault="00D474E6">
      <w:pPr>
        <w:spacing w:line="480" w:lineRule="auto"/>
        <w:ind w:left="142" w:hanging="142"/>
        <w:rPr>
          <w:rFonts w:ascii="Arial" w:eastAsia="Arial" w:hAnsi="Arial" w:cs="Arial"/>
        </w:rPr>
      </w:pPr>
      <w:r>
        <w:rPr>
          <w:rFonts w:ascii="Arial" w:eastAsia="Arial" w:hAnsi="Arial" w:cs="Arial"/>
        </w:rPr>
        <w:t xml:space="preserve">Barbosa, K.C. &amp; Pizo, M.A. 2006. Seed </w:t>
      </w:r>
      <w:r w:rsidR="006C1B42">
        <w:rPr>
          <w:rFonts w:ascii="Arial" w:eastAsia="Arial" w:hAnsi="Arial" w:cs="Arial"/>
        </w:rPr>
        <w:t>r</w:t>
      </w:r>
      <w:r>
        <w:rPr>
          <w:rFonts w:ascii="Arial" w:eastAsia="Arial" w:hAnsi="Arial" w:cs="Arial"/>
        </w:rPr>
        <w:t xml:space="preserve">ain and </w:t>
      </w:r>
      <w:r w:rsidR="006C1B42">
        <w:rPr>
          <w:rFonts w:ascii="Arial" w:eastAsia="Arial" w:hAnsi="Arial" w:cs="Arial"/>
        </w:rPr>
        <w:t>s</w:t>
      </w:r>
      <w:r>
        <w:rPr>
          <w:rFonts w:ascii="Arial" w:eastAsia="Arial" w:hAnsi="Arial" w:cs="Arial"/>
        </w:rPr>
        <w:t xml:space="preserve">eed </w:t>
      </w:r>
      <w:r w:rsidR="006C1B42">
        <w:rPr>
          <w:rFonts w:ascii="Arial" w:eastAsia="Arial" w:hAnsi="Arial" w:cs="Arial"/>
        </w:rPr>
        <w:t>l</w:t>
      </w:r>
      <w:r>
        <w:rPr>
          <w:rFonts w:ascii="Arial" w:eastAsia="Arial" w:hAnsi="Arial" w:cs="Arial"/>
        </w:rPr>
        <w:t xml:space="preserve">imitation in a </w:t>
      </w:r>
      <w:r w:rsidR="006C1B42">
        <w:rPr>
          <w:rFonts w:ascii="Arial" w:eastAsia="Arial" w:hAnsi="Arial" w:cs="Arial"/>
        </w:rPr>
        <w:t>p</w:t>
      </w:r>
      <w:r>
        <w:rPr>
          <w:rFonts w:ascii="Arial" w:eastAsia="Arial" w:hAnsi="Arial" w:cs="Arial"/>
        </w:rPr>
        <w:t xml:space="preserve">lanted </w:t>
      </w:r>
      <w:r w:rsidR="006C1B42">
        <w:rPr>
          <w:rFonts w:ascii="Arial" w:eastAsia="Arial" w:hAnsi="Arial" w:cs="Arial"/>
        </w:rPr>
        <w:t>g</w:t>
      </w:r>
      <w:r>
        <w:rPr>
          <w:rFonts w:ascii="Arial" w:eastAsia="Arial" w:hAnsi="Arial" w:cs="Arial"/>
        </w:rPr>
        <w:t xml:space="preserve">allery </w:t>
      </w:r>
      <w:r w:rsidR="006C1B42">
        <w:rPr>
          <w:rFonts w:ascii="Arial" w:eastAsia="Arial" w:hAnsi="Arial" w:cs="Arial"/>
        </w:rPr>
        <w:t>f</w:t>
      </w:r>
      <w:r>
        <w:rPr>
          <w:rFonts w:ascii="Arial" w:eastAsia="Arial" w:hAnsi="Arial" w:cs="Arial"/>
        </w:rPr>
        <w:t xml:space="preserve">orest in Brazil. Restoration Ecology 14: 504–515. </w:t>
      </w:r>
    </w:p>
    <w:p w14:paraId="1A302B95" w14:textId="5694180F" w:rsidR="00D8396D" w:rsidRDefault="00D474E6">
      <w:pPr>
        <w:spacing w:line="480" w:lineRule="auto"/>
        <w:ind w:left="142" w:hanging="142"/>
        <w:rPr>
          <w:rFonts w:ascii="Arial" w:eastAsia="Arial" w:hAnsi="Arial" w:cs="Arial"/>
        </w:rPr>
      </w:pPr>
      <w:r w:rsidRPr="008B0A22">
        <w:rPr>
          <w:rFonts w:ascii="Arial" w:eastAsia="Arial" w:hAnsi="Arial" w:cs="Arial"/>
          <w:lang w:val="pt-BR"/>
        </w:rPr>
        <w:t xml:space="preserve">Calmon, M., Brancalion, P.H.S., Paese, A., Aronson, J., Castro, P., da Silva, S.C. &amp; Rodrigues, R.R. 2011. </w:t>
      </w:r>
      <w:r>
        <w:rPr>
          <w:rFonts w:ascii="Arial" w:eastAsia="Arial" w:hAnsi="Arial" w:cs="Arial"/>
        </w:rPr>
        <w:t xml:space="preserve">Emerging </w:t>
      </w:r>
      <w:r w:rsidR="006C1B42">
        <w:rPr>
          <w:rFonts w:ascii="Arial" w:eastAsia="Arial" w:hAnsi="Arial" w:cs="Arial"/>
        </w:rPr>
        <w:t>t</w:t>
      </w:r>
      <w:r>
        <w:rPr>
          <w:rFonts w:ascii="Arial" w:eastAsia="Arial" w:hAnsi="Arial" w:cs="Arial"/>
        </w:rPr>
        <w:t xml:space="preserve">hreats and </w:t>
      </w:r>
      <w:r w:rsidR="006C1B42">
        <w:rPr>
          <w:rFonts w:ascii="Arial" w:eastAsia="Arial" w:hAnsi="Arial" w:cs="Arial"/>
        </w:rPr>
        <w:t>o</w:t>
      </w:r>
      <w:r>
        <w:rPr>
          <w:rFonts w:ascii="Arial" w:eastAsia="Arial" w:hAnsi="Arial" w:cs="Arial"/>
        </w:rPr>
        <w:t xml:space="preserve">pportunities for </w:t>
      </w:r>
      <w:r w:rsidR="006C1B42">
        <w:rPr>
          <w:rFonts w:ascii="Arial" w:eastAsia="Arial" w:hAnsi="Arial" w:cs="Arial"/>
        </w:rPr>
        <w:t>l</w:t>
      </w:r>
      <w:r>
        <w:rPr>
          <w:rFonts w:ascii="Arial" w:eastAsia="Arial" w:hAnsi="Arial" w:cs="Arial"/>
        </w:rPr>
        <w:t>arge-</w:t>
      </w:r>
      <w:r w:rsidR="006C1B42">
        <w:rPr>
          <w:rFonts w:ascii="Arial" w:eastAsia="Arial" w:hAnsi="Arial" w:cs="Arial"/>
        </w:rPr>
        <w:t>s</w:t>
      </w:r>
      <w:r>
        <w:rPr>
          <w:rFonts w:ascii="Arial" w:eastAsia="Arial" w:hAnsi="Arial" w:cs="Arial"/>
        </w:rPr>
        <w:t xml:space="preserve">cale </w:t>
      </w:r>
      <w:r w:rsidR="006C1B42">
        <w:rPr>
          <w:rFonts w:ascii="Arial" w:eastAsia="Arial" w:hAnsi="Arial" w:cs="Arial"/>
        </w:rPr>
        <w:t xml:space="preserve">ecological restoration </w:t>
      </w:r>
      <w:r>
        <w:rPr>
          <w:rFonts w:ascii="Arial" w:eastAsia="Arial" w:hAnsi="Arial" w:cs="Arial"/>
        </w:rPr>
        <w:t xml:space="preserve">in the </w:t>
      </w:r>
      <w:r w:rsidR="00D63B7E">
        <w:rPr>
          <w:rFonts w:ascii="Arial" w:eastAsia="Arial" w:hAnsi="Arial" w:cs="Arial"/>
        </w:rPr>
        <w:t>a</w:t>
      </w:r>
      <w:r>
        <w:rPr>
          <w:rFonts w:ascii="Arial" w:eastAsia="Arial" w:hAnsi="Arial" w:cs="Arial"/>
        </w:rPr>
        <w:t xml:space="preserve">tlantic </w:t>
      </w:r>
      <w:r w:rsidR="00D63B7E">
        <w:rPr>
          <w:rFonts w:ascii="Arial" w:eastAsia="Arial" w:hAnsi="Arial" w:cs="Arial"/>
        </w:rPr>
        <w:t>f</w:t>
      </w:r>
      <w:r>
        <w:rPr>
          <w:rFonts w:ascii="Arial" w:eastAsia="Arial" w:hAnsi="Arial" w:cs="Arial"/>
        </w:rPr>
        <w:t>orest of Brazil. Restoration Ecology 19: 154-158.</w:t>
      </w:r>
    </w:p>
    <w:p w14:paraId="4504B7B0" w14:textId="35C52E72" w:rsidR="00D8396D" w:rsidRDefault="00D474E6">
      <w:pPr>
        <w:spacing w:line="480" w:lineRule="auto"/>
        <w:ind w:left="142" w:hanging="142"/>
        <w:rPr>
          <w:rFonts w:ascii="Arial" w:eastAsia="Arial" w:hAnsi="Arial" w:cs="Arial"/>
        </w:rPr>
      </w:pPr>
      <w:r>
        <w:rPr>
          <w:rFonts w:ascii="Arial" w:eastAsia="Arial" w:hAnsi="Arial" w:cs="Arial"/>
        </w:rPr>
        <w:t xml:space="preserve">Chave, J., Réjou-Méchain, M., Búrquez, A., Chidumayo, E., Colgan, M.S., Delitti, W.B.C., Duque, A., Eid, T., Fearnside, P.M., </w:t>
      </w:r>
      <w:r w:rsidR="0079720A">
        <w:rPr>
          <w:rFonts w:ascii="Arial" w:eastAsia="Arial" w:hAnsi="Arial" w:cs="Arial"/>
        </w:rPr>
        <w:t xml:space="preserve">Goodman, R.C., (. . .) </w:t>
      </w:r>
      <w:r>
        <w:rPr>
          <w:rFonts w:ascii="Arial" w:eastAsia="Arial" w:hAnsi="Arial" w:cs="Arial"/>
        </w:rPr>
        <w:t xml:space="preserve">&amp; Vieilledent, G. 2014. Improved allometric models to estimate the aboveground biomass of tropical trees. Global Change Biology 20: 3177–3190. </w:t>
      </w:r>
    </w:p>
    <w:p w14:paraId="6107BC7E" w14:textId="62A294E2" w:rsidR="00D8396D" w:rsidRDefault="00D474E6">
      <w:pPr>
        <w:spacing w:line="480" w:lineRule="auto"/>
        <w:ind w:left="142" w:hanging="142"/>
        <w:rPr>
          <w:rFonts w:ascii="Arial" w:eastAsia="Arial" w:hAnsi="Arial" w:cs="Arial"/>
        </w:rPr>
      </w:pPr>
      <w:r>
        <w:rPr>
          <w:rFonts w:ascii="Arial" w:eastAsia="Arial" w:hAnsi="Arial" w:cs="Arial"/>
        </w:rPr>
        <w:t xml:space="preserve">Chaves, R.B., Durigan, G. &amp; Brancalion, P.H.S. &amp; Aronson, J. 2015. On the need of legal frameworks for assessing restoration projects success: </w:t>
      </w:r>
      <w:r w:rsidR="00170E83">
        <w:rPr>
          <w:rFonts w:ascii="Arial" w:eastAsia="Arial" w:hAnsi="Arial" w:cs="Arial"/>
        </w:rPr>
        <w:t>N</w:t>
      </w:r>
      <w:r>
        <w:rPr>
          <w:rFonts w:ascii="Arial" w:eastAsia="Arial" w:hAnsi="Arial" w:cs="Arial"/>
        </w:rPr>
        <w:t>ew perspectives from São Paulo state (Brazil). Restoration Ecology 23: 754-759.</w:t>
      </w:r>
    </w:p>
    <w:p w14:paraId="00D71AA6" w14:textId="49B17A5C" w:rsidR="00D8396D" w:rsidRDefault="00D474E6">
      <w:pPr>
        <w:spacing w:line="480" w:lineRule="auto"/>
        <w:ind w:left="142" w:hanging="142"/>
        <w:rPr>
          <w:rFonts w:ascii="Arial" w:eastAsia="Arial" w:hAnsi="Arial" w:cs="Arial"/>
        </w:rPr>
      </w:pPr>
      <w:r>
        <w:rPr>
          <w:rFonts w:ascii="Arial" w:eastAsia="Arial" w:hAnsi="Arial" w:cs="Arial"/>
        </w:rPr>
        <w:t xml:space="preserve">Chazdon, R.L. 2008. Beyond deforestation: </w:t>
      </w:r>
      <w:r w:rsidR="00170E83">
        <w:rPr>
          <w:rFonts w:ascii="Arial" w:eastAsia="Arial" w:hAnsi="Arial" w:cs="Arial"/>
        </w:rPr>
        <w:t>R</w:t>
      </w:r>
      <w:r>
        <w:rPr>
          <w:rFonts w:ascii="Arial" w:eastAsia="Arial" w:hAnsi="Arial" w:cs="Arial"/>
        </w:rPr>
        <w:t xml:space="preserve">estoring forests and ecosystem services on degraded lands. Science 320: 1458–1460. </w:t>
      </w:r>
    </w:p>
    <w:p w14:paraId="572602DB" w14:textId="64A2F137" w:rsidR="00D8396D" w:rsidRDefault="00D474E6">
      <w:pPr>
        <w:spacing w:line="480" w:lineRule="auto"/>
        <w:ind w:left="142" w:hanging="142"/>
        <w:rPr>
          <w:rFonts w:ascii="Arial" w:eastAsia="Arial" w:hAnsi="Arial" w:cs="Arial"/>
        </w:rPr>
      </w:pPr>
      <w:r>
        <w:rPr>
          <w:rFonts w:ascii="Arial" w:eastAsia="Arial" w:hAnsi="Arial" w:cs="Arial"/>
        </w:rPr>
        <w:t>Cramer, V.A., Hobbs, R.J. &amp; Standish, R.J. 2008. What's new about old fields? Land abandonment and ecosystem assembly. Trends in Ecology &amp; Evolution 23:104-112.</w:t>
      </w:r>
    </w:p>
    <w:p w14:paraId="6848805F" w14:textId="0F2EE889" w:rsidR="00D8396D" w:rsidRDefault="00D474E6">
      <w:pPr>
        <w:spacing w:line="480" w:lineRule="auto"/>
        <w:ind w:left="142" w:hanging="142"/>
        <w:rPr>
          <w:rFonts w:ascii="Arial" w:eastAsia="Arial" w:hAnsi="Arial" w:cs="Arial"/>
        </w:rPr>
      </w:pPr>
      <w:r>
        <w:rPr>
          <w:rFonts w:ascii="Arial" w:eastAsia="Arial" w:hAnsi="Arial" w:cs="Arial"/>
        </w:rPr>
        <w:lastRenderedPageBreak/>
        <w:t xml:space="preserve">Dean, W. 1997. With broadax and firebrand: </w:t>
      </w:r>
      <w:r w:rsidR="00170E83">
        <w:rPr>
          <w:rFonts w:ascii="Arial" w:eastAsia="Arial" w:hAnsi="Arial" w:cs="Arial"/>
        </w:rPr>
        <w:t>T</w:t>
      </w:r>
      <w:r>
        <w:rPr>
          <w:rFonts w:ascii="Arial" w:eastAsia="Arial" w:hAnsi="Arial" w:cs="Arial"/>
        </w:rPr>
        <w:t>he destruction of the Brazilian Atlantic Forest. University of California Press.</w:t>
      </w:r>
    </w:p>
    <w:p w14:paraId="635F2CCF" w14:textId="65168616" w:rsidR="00D8396D" w:rsidRPr="00F07565" w:rsidRDefault="00D474E6">
      <w:pPr>
        <w:spacing w:line="480" w:lineRule="auto"/>
        <w:ind w:left="142" w:hanging="142"/>
        <w:rPr>
          <w:rFonts w:ascii="Arial" w:eastAsia="Arial" w:hAnsi="Arial" w:cs="Arial"/>
        </w:rPr>
      </w:pPr>
      <w:r w:rsidRPr="008B0A22">
        <w:rPr>
          <w:rFonts w:ascii="Arial" w:eastAsia="Arial" w:hAnsi="Arial" w:cs="Arial"/>
          <w:lang w:val="pt-BR"/>
        </w:rPr>
        <w:t xml:space="preserve">de la Peña-Domene, M., Martínez-Garza, C., Palmas-Pérez, S., Rivas-Alonso, E. &amp; Howe, H.F. 2014. </w:t>
      </w:r>
      <w:r>
        <w:rPr>
          <w:rFonts w:ascii="Arial" w:eastAsia="Arial" w:hAnsi="Arial" w:cs="Arial"/>
        </w:rPr>
        <w:t xml:space="preserve">Roles of </w:t>
      </w:r>
      <w:r w:rsidR="00170E83">
        <w:rPr>
          <w:rFonts w:ascii="Arial" w:eastAsia="Arial" w:hAnsi="Arial" w:cs="Arial"/>
        </w:rPr>
        <w:t>b</w:t>
      </w:r>
      <w:r>
        <w:rPr>
          <w:rFonts w:ascii="Arial" w:eastAsia="Arial" w:hAnsi="Arial" w:cs="Arial"/>
        </w:rPr>
        <w:t xml:space="preserve">irds and </w:t>
      </w:r>
      <w:r w:rsidR="00170E83">
        <w:rPr>
          <w:rFonts w:ascii="Arial" w:eastAsia="Arial" w:hAnsi="Arial" w:cs="Arial"/>
        </w:rPr>
        <w:t>b</w:t>
      </w:r>
      <w:r>
        <w:rPr>
          <w:rFonts w:ascii="Arial" w:eastAsia="Arial" w:hAnsi="Arial" w:cs="Arial"/>
        </w:rPr>
        <w:t xml:space="preserve">ats in </w:t>
      </w:r>
      <w:r w:rsidR="00170E83">
        <w:rPr>
          <w:rFonts w:ascii="Arial" w:eastAsia="Arial" w:hAnsi="Arial" w:cs="Arial"/>
        </w:rPr>
        <w:t>e</w:t>
      </w:r>
      <w:r>
        <w:rPr>
          <w:rFonts w:ascii="Arial" w:eastAsia="Arial" w:hAnsi="Arial" w:cs="Arial"/>
        </w:rPr>
        <w:t xml:space="preserve">arly </w:t>
      </w:r>
      <w:r w:rsidR="00170E83">
        <w:rPr>
          <w:rFonts w:ascii="Arial" w:eastAsia="Arial" w:hAnsi="Arial" w:cs="Arial"/>
        </w:rPr>
        <w:t>t</w:t>
      </w:r>
      <w:r>
        <w:rPr>
          <w:rFonts w:ascii="Arial" w:eastAsia="Arial" w:hAnsi="Arial" w:cs="Arial"/>
        </w:rPr>
        <w:t>ropical-</w:t>
      </w:r>
      <w:r w:rsidR="00965243">
        <w:rPr>
          <w:rFonts w:ascii="Arial" w:eastAsia="Arial" w:hAnsi="Arial" w:cs="Arial"/>
        </w:rPr>
        <w:t>f</w:t>
      </w:r>
      <w:r>
        <w:rPr>
          <w:rFonts w:ascii="Arial" w:eastAsia="Arial" w:hAnsi="Arial" w:cs="Arial"/>
        </w:rPr>
        <w:t xml:space="preserve">orest </w:t>
      </w:r>
      <w:r w:rsidR="00170E83">
        <w:rPr>
          <w:rFonts w:ascii="Arial" w:eastAsia="Arial" w:hAnsi="Arial" w:cs="Arial"/>
        </w:rPr>
        <w:t>r</w:t>
      </w:r>
      <w:r>
        <w:rPr>
          <w:rFonts w:ascii="Arial" w:eastAsia="Arial" w:hAnsi="Arial" w:cs="Arial"/>
        </w:rPr>
        <w:t xml:space="preserve">estoration. </w:t>
      </w:r>
      <w:r w:rsidRPr="00F07565">
        <w:rPr>
          <w:rFonts w:ascii="Arial" w:eastAsia="Arial" w:hAnsi="Arial" w:cs="Arial"/>
        </w:rPr>
        <w:t xml:space="preserve">PLoS One 9: e104656. </w:t>
      </w:r>
    </w:p>
    <w:p w14:paraId="5546F8DC" w14:textId="0CD3EEB3" w:rsidR="00D8396D" w:rsidRDefault="00D474E6">
      <w:pPr>
        <w:spacing w:line="480" w:lineRule="auto"/>
        <w:ind w:left="142" w:hanging="142"/>
        <w:rPr>
          <w:rFonts w:ascii="Arial" w:eastAsia="Arial" w:hAnsi="Arial" w:cs="Arial"/>
        </w:rPr>
      </w:pPr>
      <w:r w:rsidRPr="00861BCF">
        <w:rPr>
          <w:rFonts w:ascii="Arial" w:eastAsia="Arial" w:hAnsi="Arial" w:cs="Arial"/>
          <w:lang w:val="pt-BR"/>
        </w:rPr>
        <w:t xml:space="preserve">de Rezende, C.L., Uezu, A., Scarano, F.R. &amp; Araujo, D.S.D. 2015. </w:t>
      </w:r>
      <w:r>
        <w:rPr>
          <w:rFonts w:ascii="Arial" w:eastAsia="Arial" w:hAnsi="Arial" w:cs="Arial"/>
        </w:rPr>
        <w:t xml:space="preserve">Atlantic </w:t>
      </w:r>
      <w:r w:rsidR="00D63B7E">
        <w:rPr>
          <w:rFonts w:ascii="Arial" w:eastAsia="Arial" w:hAnsi="Arial" w:cs="Arial"/>
        </w:rPr>
        <w:t>f</w:t>
      </w:r>
      <w:r>
        <w:rPr>
          <w:rFonts w:ascii="Arial" w:eastAsia="Arial" w:hAnsi="Arial" w:cs="Arial"/>
        </w:rPr>
        <w:t>orest spontaneous regeneration at landscape scale. Biodiversity and Conservation</w:t>
      </w:r>
      <w:r w:rsidR="006C1B42">
        <w:rPr>
          <w:rFonts w:ascii="Arial" w:eastAsia="Arial" w:hAnsi="Arial" w:cs="Arial"/>
        </w:rPr>
        <w:t xml:space="preserve"> </w:t>
      </w:r>
      <w:r w:rsidR="008D3038">
        <w:rPr>
          <w:rFonts w:ascii="Arial" w:eastAsia="Arial" w:hAnsi="Arial" w:cs="Arial"/>
        </w:rPr>
        <w:t xml:space="preserve">24: </w:t>
      </w:r>
      <w:r w:rsidR="006C1B42" w:rsidRPr="006C1B42">
        <w:rPr>
          <w:rFonts w:ascii="Arial" w:eastAsia="Arial" w:hAnsi="Arial" w:cs="Arial"/>
        </w:rPr>
        <w:t>2255-2272.</w:t>
      </w:r>
    </w:p>
    <w:p w14:paraId="1EC5ECD6" w14:textId="77777777" w:rsidR="00D8396D" w:rsidRDefault="00D474E6">
      <w:pPr>
        <w:spacing w:line="480" w:lineRule="auto"/>
        <w:ind w:left="142" w:hanging="142"/>
        <w:rPr>
          <w:rFonts w:ascii="Arial" w:eastAsia="Arial" w:hAnsi="Arial" w:cs="Arial"/>
        </w:rPr>
      </w:pPr>
      <w:r>
        <w:rPr>
          <w:rFonts w:ascii="Arial" w:eastAsia="Arial" w:hAnsi="Arial" w:cs="Arial"/>
        </w:rPr>
        <w:t>del Moral, R., Walker, L.R. &amp; Bakker, J.P. 2009. Insights gained from succession for the restoration of landscape structure and function, in: Walker, Lawrence R., Joe Walker,  and R.J.H. (Ed.), Linking Restoration and Ecological Succession. Springer, New York, pp. 19–44.</w:t>
      </w:r>
    </w:p>
    <w:p w14:paraId="2A1B8A36" w14:textId="309434E0" w:rsidR="00D8396D" w:rsidRPr="00F07565" w:rsidRDefault="00D474E6">
      <w:pPr>
        <w:spacing w:line="480" w:lineRule="auto"/>
        <w:ind w:left="142" w:hanging="142"/>
        <w:rPr>
          <w:rFonts w:ascii="Arial" w:eastAsia="Arial" w:hAnsi="Arial" w:cs="Arial"/>
        </w:rPr>
      </w:pPr>
      <w:r>
        <w:rPr>
          <w:rFonts w:ascii="Arial" w:eastAsia="Arial" w:hAnsi="Arial" w:cs="Arial"/>
        </w:rPr>
        <w:t xml:space="preserve">Duncanson, L.I., Dubayah, R.O. &amp; Enquist, B.J. 2015. Assessing the general patterns of forest structure: </w:t>
      </w:r>
      <w:r w:rsidR="00F07565">
        <w:rPr>
          <w:rFonts w:ascii="Arial" w:eastAsia="Arial" w:hAnsi="Arial" w:cs="Arial"/>
        </w:rPr>
        <w:t>Q</w:t>
      </w:r>
      <w:r>
        <w:rPr>
          <w:rFonts w:ascii="Arial" w:eastAsia="Arial" w:hAnsi="Arial" w:cs="Arial"/>
        </w:rPr>
        <w:t xml:space="preserve">uantifying tree and forest allometric scaling relationships in the United States. </w:t>
      </w:r>
      <w:r w:rsidRPr="00F07565">
        <w:rPr>
          <w:rFonts w:ascii="Arial" w:eastAsia="Arial" w:hAnsi="Arial" w:cs="Arial"/>
        </w:rPr>
        <w:t xml:space="preserve">Global Ecology </w:t>
      </w:r>
      <w:r w:rsidR="00170E83" w:rsidRPr="00F07565">
        <w:rPr>
          <w:rFonts w:ascii="Arial" w:eastAsia="Arial" w:hAnsi="Arial" w:cs="Arial"/>
        </w:rPr>
        <w:t xml:space="preserve">&amp; </w:t>
      </w:r>
      <w:r w:rsidRPr="00F07565">
        <w:rPr>
          <w:rFonts w:ascii="Arial" w:eastAsia="Arial" w:hAnsi="Arial" w:cs="Arial"/>
        </w:rPr>
        <w:t>Biogeography 24: 1465-1475.</w:t>
      </w:r>
    </w:p>
    <w:p w14:paraId="7D92037E" w14:textId="7DE5DCCF" w:rsidR="00D8396D" w:rsidRDefault="00D474E6">
      <w:pPr>
        <w:spacing w:line="480" w:lineRule="auto"/>
        <w:ind w:left="142" w:hanging="142"/>
        <w:rPr>
          <w:rFonts w:ascii="Arial" w:eastAsia="Arial" w:hAnsi="Arial" w:cs="Arial"/>
        </w:rPr>
      </w:pPr>
      <w:r w:rsidRPr="00861BCF">
        <w:rPr>
          <w:rFonts w:ascii="Arial" w:eastAsia="Arial" w:hAnsi="Arial" w:cs="Arial"/>
          <w:lang w:val="pt-BR"/>
        </w:rPr>
        <w:t xml:space="preserve">Durigan, G., Guerin, N. &amp; da Costa, J.N.M.N. 2013. </w:t>
      </w:r>
      <w:r>
        <w:rPr>
          <w:rFonts w:ascii="Arial" w:eastAsia="Arial" w:hAnsi="Arial" w:cs="Arial"/>
        </w:rPr>
        <w:t>Ecological restoration of Xingu Basin headwaters: motivations, engagement, challenges and perspectives. Philosophical Transactions of the Royal Society of London B: Biological Sciences 368: 20120165.</w:t>
      </w:r>
    </w:p>
    <w:p w14:paraId="659CFCB8" w14:textId="77777777" w:rsidR="00D8396D" w:rsidRDefault="00D474E6">
      <w:pPr>
        <w:spacing w:line="480" w:lineRule="auto"/>
        <w:ind w:left="142" w:hanging="142"/>
        <w:rPr>
          <w:rFonts w:ascii="Arial" w:eastAsia="Arial" w:hAnsi="Arial" w:cs="Arial"/>
        </w:rPr>
      </w:pPr>
      <w:r>
        <w:rPr>
          <w:rFonts w:ascii="Arial" w:eastAsia="Arial" w:hAnsi="Arial" w:cs="Arial"/>
        </w:rPr>
        <w:t xml:space="preserve">Flinn, K.M. &amp; Vellend, M. 2005. Recovery of forest plant communities in post-agricultural landscapes. Frontiers in Ecology and the Environment 3: 243–250. </w:t>
      </w:r>
    </w:p>
    <w:p w14:paraId="52981A1A" w14:textId="3F463CD5" w:rsidR="00D8396D" w:rsidRDefault="00D474E6">
      <w:pPr>
        <w:spacing w:line="480" w:lineRule="auto"/>
        <w:ind w:left="142" w:hanging="142"/>
        <w:rPr>
          <w:rFonts w:ascii="Arial" w:eastAsia="Arial" w:hAnsi="Arial" w:cs="Arial"/>
        </w:rPr>
      </w:pPr>
      <w:r>
        <w:rPr>
          <w:rFonts w:ascii="Arial" w:eastAsia="Arial" w:hAnsi="Arial" w:cs="Arial"/>
        </w:rPr>
        <w:t>Hallett, L.M., Standish, R.J., Jonson, J. &amp; Hobbs, R.J. 2014. Seedling emergence and summer survival after direct seeding for woodland restoration on old fields in south</w:t>
      </w:r>
      <w:r>
        <w:rPr>
          <w:rFonts w:ascii="Cambria Math" w:eastAsia="Cambria Math" w:hAnsi="Cambria Math" w:cs="Cambria Math"/>
        </w:rPr>
        <w:t>‐</w:t>
      </w:r>
      <w:r>
        <w:rPr>
          <w:rFonts w:ascii="Arial" w:eastAsia="Arial" w:hAnsi="Arial" w:cs="Arial"/>
        </w:rPr>
        <w:t>western Australia. Ecological Management &amp; Restoration 15: 140-146.</w:t>
      </w:r>
    </w:p>
    <w:p w14:paraId="302E2991" w14:textId="77777777" w:rsidR="00D8396D" w:rsidRDefault="00D474E6">
      <w:pPr>
        <w:spacing w:line="480" w:lineRule="auto"/>
        <w:ind w:left="142" w:hanging="142"/>
        <w:rPr>
          <w:rFonts w:ascii="Arial" w:eastAsia="Arial" w:hAnsi="Arial" w:cs="Arial"/>
        </w:rPr>
      </w:pPr>
      <w:r>
        <w:rPr>
          <w:rFonts w:ascii="Arial" w:eastAsia="Arial" w:hAnsi="Arial" w:cs="Arial"/>
        </w:rPr>
        <w:lastRenderedPageBreak/>
        <w:t xml:space="preserve">Hijmans, R.J., Cameron, S.E., Parra, J.L., Jones, P.G. &amp; Jarvis, A. 2005. Very high resolution interpolated climate surfaces for global land areas. International Journal of Climatology 25: 1965–1978. </w:t>
      </w:r>
    </w:p>
    <w:p w14:paraId="75FD7C82" w14:textId="77777777" w:rsidR="00D8396D" w:rsidRDefault="00D474E6">
      <w:pPr>
        <w:spacing w:line="480" w:lineRule="auto"/>
        <w:ind w:left="142" w:hanging="142"/>
        <w:rPr>
          <w:rFonts w:ascii="Arial" w:eastAsia="Arial" w:hAnsi="Arial" w:cs="Arial"/>
        </w:rPr>
      </w:pPr>
      <w:r>
        <w:rPr>
          <w:rFonts w:ascii="Arial" w:eastAsia="Arial" w:hAnsi="Arial" w:cs="Arial"/>
        </w:rPr>
        <w:t xml:space="preserve">Hobbs, R.J., Higgs, E., Harris, J. A. 2009. Novel ecosystems: implications for conservation and restoration. Trends in Ecology Evolution 24: 599–605. </w:t>
      </w:r>
    </w:p>
    <w:p w14:paraId="189E8974" w14:textId="2552CD19" w:rsidR="00D8396D" w:rsidRDefault="00D474E6">
      <w:pPr>
        <w:spacing w:line="480" w:lineRule="auto"/>
        <w:ind w:left="142" w:hanging="142"/>
        <w:rPr>
          <w:rFonts w:ascii="Arial" w:eastAsia="Arial" w:hAnsi="Arial" w:cs="Arial"/>
        </w:rPr>
      </w:pPr>
      <w:r>
        <w:rPr>
          <w:rFonts w:ascii="Arial" w:eastAsia="Arial" w:hAnsi="Arial" w:cs="Arial"/>
        </w:rPr>
        <w:t xml:space="preserve">Holl, K.D. &amp; Aide, T.M. 2011. When and where to actively restore ecosystems? Forest Ecology and Management 261: 1558-1563. </w:t>
      </w:r>
    </w:p>
    <w:p w14:paraId="150BF54B" w14:textId="77777777" w:rsidR="00D8396D" w:rsidRDefault="00D474E6">
      <w:pPr>
        <w:spacing w:line="480" w:lineRule="auto"/>
        <w:ind w:left="142" w:hanging="142"/>
        <w:rPr>
          <w:rFonts w:ascii="Arial" w:eastAsia="Arial" w:hAnsi="Arial" w:cs="Arial"/>
        </w:rPr>
      </w:pPr>
      <w:r>
        <w:rPr>
          <w:rFonts w:ascii="Arial" w:eastAsia="Arial" w:hAnsi="Arial" w:cs="Arial"/>
        </w:rPr>
        <w:t xml:space="preserve">Holl, K.D. &amp; Zahawi, R. A. 2014. Factors explaining variability in woody above-ground biomass accumulation in restored tropical forest. Forest Ecology and Management 319: 36–43. </w:t>
      </w:r>
    </w:p>
    <w:p w14:paraId="06CE0309" w14:textId="55653D6F" w:rsidR="00D8396D" w:rsidRDefault="00D474E6">
      <w:pPr>
        <w:spacing w:line="480" w:lineRule="auto"/>
        <w:ind w:left="142" w:hanging="142"/>
        <w:rPr>
          <w:rFonts w:ascii="Arial" w:eastAsia="Arial" w:hAnsi="Arial" w:cs="Arial"/>
        </w:rPr>
      </w:pPr>
      <w:r>
        <w:rPr>
          <w:rFonts w:ascii="Arial" w:eastAsia="Arial" w:hAnsi="Arial" w:cs="Arial"/>
        </w:rPr>
        <w:t>Honnay, O., Bossuyt, B., Verheyen, K., Butaye, J., Jacquemyn, H. &amp; Hermy, M. 2002. Ecological perspectives for the restoration of plant communities in European temperate forests. Biodiversity &amp; Conservation 11: 213-242.</w:t>
      </w:r>
    </w:p>
    <w:p w14:paraId="28571A02" w14:textId="3EB522D3" w:rsidR="00D8396D" w:rsidRDefault="00D474E6">
      <w:pPr>
        <w:spacing w:line="480" w:lineRule="auto"/>
        <w:ind w:left="142" w:hanging="142"/>
        <w:rPr>
          <w:rFonts w:ascii="Arial" w:eastAsia="Arial" w:hAnsi="Arial" w:cs="Arial"/>
        </w:rPr>
      </w:pPr>
      <w:r>
        <w:rPr>
          <w:rFonts w:ascii="Arial" w:eastAsia="Arial" w:hAnsi="Arial" w:cs="Arial"/>
        </w:rPr>
        <w:t>Jost, L. 2006. Entropy and diversity. Oikos 113: 363-375.</w:t>
      </w:r>
    </w:p>
    <w:p w14:paraId="308D78DF" w14:textId="77777777" w:rsidR="00D8396D" w:rsidRDefault="00D474E6">
      <w:pPr>
        <w:spacing w:line="480" w:lineRule="auto"/>
        <w:ind w:left="142" w:hanging="142"/>
        <w:rPr>
          <w:rFonts w:ascii="Arial" w:eastAsia="Arial" w:hAnsi="Arial" w:cs="Arial"/>
        </w:rPr>
      </w:pPr>
      <w:r w:rsidRPr="008B0A22">
        <w:rPr>
          <w:rFonts w:ascii="Arial" w:eastAsia="Arial" w:hAnsi="Arial" w:cs="Arial"/>
          <w:lang w:val="pt-BR"/>
        </w:rPr>
        <w:t xml:space="preserve">Kauano, E.E., Cardoso, F.C.G., Torezan, J.M.D. &amp; Marques, M.C.M. 2013. </w:t>
      </w:r>
      <w:r>
        <w:rPr>
          <w:rFonts w:ascii="Arial" w:eastAsia="Arial" w:hAnsi="Arial" w:cs="Arial"/>
        </w:rPr>
        <w:t xml:space="preserve">Micro- and meso-scale factors affect the restoration of atlantic forest. Nature &amp; Conservation 11: 145–151. </w:t>
      </w:r>
    </w:p>
    <w:p w14:paraId="3E62DB0E" w14:textId="6C9F7605" w:rsidR="00D8396D" w:rsidRDefault="00D474E6">
      <w:pPr>
        <w:spacing w:line="480" w:lineRule="auto"/>
        <w:ind w:left="142" w:hanging="142"/>
        <w:rPr>
          <w:rFonts w:ascii="Arial" w:eastAsia="Arial" w:hAnsi="Arial" w:cs="Arial"/>
        </w:rPr>
      </w:pPr>
      <w:r>
        <w:rPr>
          <w:rFonts w:ascii="Arial" w:eastAsia="Arial" w:hAnsi="Arial" w:cs="Arial"/>
        </w:rPr>
        <w:t xml:space="preserve">Lamb, D., Erskine, P.D. &amp; Parrotta, J.A. 2005. Restoration of degraded tropical forest landscapes. Science 310: 1628-1632. </w:t>
      </w:r>
    </w:p>
    <w:p w14:paraId="717A6BF8" w14:textId="15136511" w:rsidR="00D8396D" w:rsidRDefault="00D474E6">
      <w:pPr>
        <w:spacing w:line="480" w:lineRule="auto"/>
        <w:ind w:left="142" w:hanging="142"/>
        <w:rPr>
          <w:rFonts w:ascii="Arial" w:eastAsia="Arial" w:hAnsi="Arial" w:cs="Arial"/>
        </w:rPr>
      </w:pPr>
      <w:r>
        <w:rPr>
          <w:rFonts w:ascii="Arial" w:eastAsia="Arial" w:hAnsi="Arial" w:cs="Arial"/>
        </w:rPr>
        <w:t xml:space="preserve">Lasky, J. R., Uriarte, M., Boukili, V. K., Erickson, D. L., John Kress, W., &amp; Chazdon, R. L. 2014. The relationship between tree biodiversity and biomass dynamics changes with tropical forest succession. Ecology </w:t>
      </w:r>
      <w:r w:rsidR="008D75F0">
        <w:rPr>
          <w:rFonts w:ascii="Arial" w:eastAsia="Arial" w:hAnsi="Arial" w:cs="Arial"/>
        </w:rPr>
        <w:t>L</w:t>
      </w:r>
      <w:r>
        <w:rPr>
          <w:rFonts w:ascii="Arial" w:eastAsia="Arial" w:hAnsi="Arial" w:cs="Arial"/>
        </w:rPr>
        <w:t xml:space="preserve">etters 17: 1158-1167. </w:t>
      </w:r>
    </w:p>
    <w:p w14:paraId="008CF8AB" w14:textId="77777777" w:rsidR="00D8396D" w:rsidRDefault="00D474E6">
      <w:pPr>
        <w:spacing w:line="480" w:lineRule="auto"/>
        <w:ind w:left="142" w:hanging="142"/>
        <w:rPr>
          <w:rFonts w:ascii="Arial" w:eastAsia="Arial" w:hAnsi="Arial" w:cs="Arial"/>
        </w:rPr>
      </w:pPr>
      <w:r>
        <w:rPr>
          <w:rFonts w:ascii="Arial" w:eastAsia="Arial" w:hAnsi="Arial" w:cs="Arial"/>
        </w:rPr>
        <w:t xml:space="preserve">Lebrija-Trejos, E., Pérez-García, E. A., Meave, J. A., Bongers, F. &amp; Poorter, L. 2010. </w:t>
      </w:r>
      <w:r>
        <w:rPr>
          <w:rFonts w:ascii="Arial" w:eastAsia="Arial" w:hAnsi="Arial" w:cs="Arial"/>
        </w:rPr>
        <w:lastRenderedPageBreak/>
        <w:t xml:space="preserve">Functional traits and environmental filtering drive community assembly in a species-rich tropical system. Ecology 91: 386–98. </w:t>
      </w:r>
    </w:p>
    <w:p w14:paraId="3B2C5711" w14:textId="77777777" w:rsidR="00D8396D" w:rsidRDefault="00D474E6">
      <w:pPr>
        <w:spacing w:line="480" w:lineRule="auto"/>
        <w:ind w:left="142" w:hanging="142"/>
        <w:rPr>
          <w:rFonts w:ascii="Arial" w:eastAsia="Arial" w:hAnsi="Arial" w:cs="Arial"/>
        </w:rPr>
      </w:pPr>
      <w:r>
        <w:rPr>
          <w:rFonts w:ascii="Arial" w:eastAsia="Arial" w:hAnsi="Arial" w:cs="Arial"/>
        </w:rPr>
        <w:t xml:space="preserve">Lira, P.K., Tambosi, L.R., Ewers, R.M. &amp; Metzger, J.P. 2012. Land-use and land-cover change in Atlantic Forest landscapes. Forest Ecology and Management 278: 80–89. </w:t>
      </w:r>
    </w:p>
    <w:p w14:paraId="2F1501B1" w14:textId="1E727982" w:rsidR="00D8396D" w:rsidRDefault="00D474E6">
      <w:pPr>
        <w:spacing w:line="480" w:lineRule="auto"/>
        <w:ind w:left="142" w:hanging="142"/>
        <w:rPr>
          <w:rFonts w:ascii="Arial" w:eastAsia="Arial" w:hAnsi="Arial" w:cs="Arial"/>
        </w:rPr>
      </w:pPr>
      <w:r>
        <w:rPr>
          <w:rFonts w:ascii="Arial" w:eastAsia="Arial" w:hAnsi="Arial" w:cs="Arial"/>
        </w:rPr>
        <w:t xml:space="preserve">Lohbeck, M., Lebrija-Trejos, E., Martínez-Ramos, M., Meave, J.A., Poorter, L. &amp; Bongers, F. 2015. </w:t>
      </w:r>
      <w:r w:rsidR="00965243">
        <w:rPr>
          <w:rFonts w:ascii="Arial" w:eastAsia="Arial" w:hAnsi="Arial" w:cs="Arial"/>
        </w:rPr>
        <w:t>F</w:t>
      </w:r>
      <w:r>
        <w:rPr>
          <w:rFonts w:ascii="Arial" w:eastAsia="Arial" w:hAnsi="Arial" w:cs="Arial"/>
        </w:rPr>
        <w:t xml:space="preserve">unctional </w:t>
      </w:r>
      <w:r w:rsidR="00170E83">
        <w:rPr>
          <w:rFonts w:ascii="Arial" w:eastAsia="Arial" w:hAnsi="Arial" w:cs="Arial"/>
        </w:rPr>
        <w:t>t</w:t>
      </w:r>
      <w:r>
        <w:rPr>
          <w:rFonts w:ascii="Arial" w:eastAsia="Arial" w:hAnsi="Arial" w:cs="Arial"/>
        </w:rPr>
        <w:t xml:space="preserve">rait </w:t>
      </w:r>
      <w:r w:rsidR="00170E83">
        <w:rPr>
          <w:rFonts w:ascii="Arial" w:eastAsia="Arial" w:hAnsi="Arial" w:cs="Arial"/>
        </w:rPr>
        <w:t>s</w:t>
      </w:r>
      <w:r>
        <w:rPr>
          <w:rFonts w:ascii="Arial" w:eastAsia="Arial" w:hAnsi="Arial" w:cs="Arial"/>
        </w:rPr>
        <w:t xml:space="preserve">trategies of </w:t>
      </w:r>
      <w:r w:rsidR="00170E83">
        <w:rPr>
          <w:rFonts w:ascii="Arial" w:eastAsia="Arial" w:hAnsi="Arial" w:cs="Arial"/>
        </w:rPr>
        <w:t>t</w:t>
      </w:r>
      <w:r>
        <w:rPr>
          <w:rFonts w:ascii="Arial" w:eastAsia="Arial" w:hAnsi="Arial" w:cs="Arial"/>
        </w:rPr>
        <w:t xml:space="preserve">rees in </w:t>
      </w:r>
      <w:r w:rsidR="00170E83">
        <w:rPr>
          <w:rFonts w:ascii="Arial" w:eastAsia="Arial" w:hAnsi="Arial" w:cs="Arial"/>
        </w:rPr>
        <w:t>d</w:t>
      </w:r>
      <w:r>
        <w:rPr>
          <w:rFonts w:ascii="Arial" w:eastAsia="Arial" w:hAnsi="Arial" w:cs="Arial"/>
        </w:rPr>
        <w:t xml:space="preserve">ry and </w:t>
      </w:r>
      <w:r w:rsidR="00170E83">
        <w:rPr>
          <w:rFonts w:ascii="Arial" w:eastAsia="Arial" w:hAnsi="Arial" w:cs="Arial"/>
        </w:rPr>
        <w:t>w</w:t>
      </w:r>
      <w:r>
        <w:rPr>
          <w:rFonts w:ascii="Arial" w:eastAsia="Arial" w:hAnsi="Arial" w:cs="Arial"/>
        </w:rPr>
        <w:t xml:space="preserve">et </w:t>
      </w:r>
      <w:r w:rsidR="00170E83">
        <w:rPr>
          <w:rFonts w:ascii="Arial" w:eastAsia="Arial" w:hAnsi="Arial" w:cs="Arial"/>
        </w:rPr>
        <w:t>t</w:t>
      </w:r>
      <w:r>
        <w:rPr>
          <w:rFonts w:ascii="Arial" w:eastAsia="Arial" w:hAnsi="Arial" w:cs="Arial"/>
        </w:rPr>
        <w:t xml:space="preserve">ropical </w:t>
      </w:r>
      <w:r w:rsidR="00170E83">
        <w:rPr>
          <w:rFonts w:ascii="Arial" w:eastAsia="Arial" w:hAnsi="Arial" w:cs="Arial"/>
        </w:rPr>
        <w:t>f</w:t>
      </w:r>
      <w:r>
        <w:rPr>
          <w:rFonts w:ascii="Arial" w:eastAsia="Arial" w:hAnsi="Arial" w:cs="Arial"/>
        </w:rPr>
        <w:t xml:space="preserve">orests </w:t>
      </w:r>
      <w:r w:rsidR="00170E83">
        <w:rPr>
          <w:rFonts w:ascii="Arial" w:eastAsia="Arial" w:hAnsi="Arial" w:cs="Arial"/>
        </w:rPr>
        <w:t>a</w:t>
      </w:r>
      <w:r>
        <w:rPr>
          <w:rFonts w:ascii="Arial" w:eastAsia="Arial" w:hAnsi="Arial" w:cs="Arial"/>
        </w:rPr>
        <w:t xml:space="preserve">re </w:t>
      </w:r>
      <w:r w:rsidR="00170E83">
        <w:rPr>
          <w:rFonts w:ascii="Arial" w:eastAsia="Arial" w:hAnsi="Arial" w:cs="Arial"/>
        </w:rPr>
        <w:t>s</w:t>
      </w:r>
      <w:r>
        <w:rPr>
          <w:rFonts w:ascii="Arial" w:eastAsia="Arial" w:hAnsi="Arial" w:cs="Arial"/>
        </w:rPr>
        <w:t xml:space="preserve">imilar but </w:t>
      </w:r>
      <w:r w:rsidR="00170E83">
        <w:rPr>
          <w:rFonts w:ascii="Arial" w:eastAsia="Arial" w:hAnsi="Arial" w:cs="Arial"/>
        </w:rPr>
        <w:t>d</w:t>
      </w:r>
      <w:r>
        <w:rPr>
          <w:rFonts w:ascii="Arial" w:eastAsia="Arial" w:hAnsi="Arial" w:cs="Arial"/>
        </w:rPr>
        <w:t xml:space="preserve">iffer in </w:t>
      </w:r>
      <w:r w:rsidR="00170E83">
        <w:rPr>
          <w:rFonts w:ascii="Arial" w:eastAsia="Arial" w:hAnsi="Arial" w:cs="Arial"/>
        </w:rPr>
        <w:t>t</w:t>
      </w:r>
      <w:r>
        <w:rPr>
          <w:rFonts w:ascii="Arial" w:eastAsia="Arial" w:hAnsi="Arial" w:cs="Arial"/>
        </w:rPr>
        <w:t xml:space="preserve">heir </w:t>
      </w:r>
      <w:r w:rsidR="00170E83">
        <w:rPr>
          <w:rFonts w:ascii="Arial" w:eastAsia="Arial" w:hAnsi="Arial" w:cs="Arial"/>
        </w:rPr>
        <w:t>c</w:t>
      </w:r>
      <w:r>
        <w:rPr>
          <w:rFonts w:ascii="Arial" w:eastAsia="Arial" w:hAnsi="Arial" w:cs="Arial"/>
        </w:rPr>
        <w:t xml:space="preserve">onsequences for </w:t>
      </w:r>
      <w:r w:rsidR="00170E83">
        <w:rPr>
          <w:rFonts w:ascii="Arial" w:eastAsia="Arial" w:hAnsi="Arial" w:cs="Arial"/>
        </w:rPr>
        <w:t>s</w:t>
      </w:r>
      <w:r>
        <w:rPr>
          <w:rFonts w:ascii="Arial" w:eastAsia="Arial" w:hAnsi="Arial" w:cs="Arial"/>
        </w:rPr>
        <w:t>uccession. PLoS One 10: e0123741.</w:t>
      </w:r>
    </w:p>
    <w:p w14:paraId="53EEB26D" w14:textId="7C69C4A3" w:rsidR="00D8396D" w:rsidRDefault="00D474E6">
      <w:pPr>
        <w:spacing w:line="480" w:lineRule="auto"/>
        <w:ind w:left="142" w:hanging="142"/>
        <w:rPr>
          <w:rFonts w:ascii="Arial" w:eastAsia="Arial" w:hAnsi="Arial" w:cs="Arial"/>
        </w:rPr>
      </w:pPr>
      <w:r>
        <w:rPr>
          <w:rFonts w:ascii="Arial" w:eastAsia="Arial" w:hAnsi="Arial" w:cs="Arial"/>
        </w:rPr>
        <w:t>Markewitz, D., Davidson, E., Moutinho, P. &amp; Nepstad, D. 2004. Nutrient loss and redistribution after forest clearing on a highly weathered soil in Amazonia. Ecological Applications 14:177-199.</w:t>
      </w:r>
    </w:p>
    <w:p w14:paraId="073FD23F" w14:textId="77777777" w:rsidR="00D8396D" w:rsidRDefault="00D474E6">
      <w:pPr>
        <w:spacing w:line="480" w:lineRule="auto"/>
        <w:ind w:left="142" w:hanging="142"/>
        <w:rPr>
          <w:rFonts w:ascii="Arial" w:eastAsia="Arial" w:hAnsi="Arial" w:cs="Arial"/>
        </w:rPr>
      </w:pPr>
      <w:r>
        <w:rPr>
          <w:rFonts w:ascii="Arial" w:eastAsia="Arial" w:hAnsi="Arial" w:cs="Arial"/>
        </w:rPr>
        <w:t xml:space="preserve">Maron, M., Hobbs, R.J., Moilanen, A., Matthews, J.W., Christie, K., Gardner, T.A., Keith, D.A., Lindenmayer, D.B. &amp; Mcalpine, C.A. 2012. Faustian bargains ? Restoration realities in the context of biodiversity offset policies. Biological Conservation 155: 141–148. </w:t>
      </w:r>
    </w:p>
    <w:p w14:paraId="36717BC7" w14:textId="4D2B38FD" w:rsidR="00D8396D" w:rsidRDefault="00D474E6">
      <w:pPr>
        <w:spacing w:line="480" w:lineRule="auto"/>
        <w:ind w:left="142" w:hanging="142"/>
        <w:rPr>
          <w:rFonts w:ascii="Arial" w:eastAsia="Arial" w:hAnsi="Arial" w:cs="Arial"/>
        </w:rPr>
      </w:pPr>
      <w:r>
        <w:rPr>
          <w:rFonts w:ascii="Arial" w:eastAsia="Arial" w:hAnsi="Arial" w:cs="Arial"/>
        </w:rPr>
        <w:t xml:space="preserve">Martinez-Garza, C., Tobon, W., Campo, J. &amp; Howe, H.F. 2013. Drought </w:t>
      </w:r>
      <w:r w:rsidR="008D75F0">
        <w:rPr>
          <w:rFonts w:ascii="Arial" w:eastAsia="Arial" w:hAnsi="Arial" w:cs="Arial"/>
        </w:rPr>
        <w:t>m</w:t>
      </w:r>
      <w:r>
        <w:rPr>
          <w:rFonts w:ascii="Arial" w:eastAsia="Arial" w:hAnsi="Arial" w:cs="Arial"/>
        </w:rPr>
        <w:t xml:space="preserve">ortality of </w:t>
      </w:r>
      <w:r w:rsidR="008D75F0">
        <w:rPr>
          <w:rFonts w:ascii="Arial" w:eastAsia="Arial" w:hAnsi="Arial" w:cs="Arial"/>
        </w:rPr>
        <w:t>t</w:t>
      </w:r>
      <w:r>
        <w:rPr>
          <w:rFonts w:ascii="Arial" w:eastAsia="Arial" w:hAnsi="Arial" w:cs="Arial"/>
        </w:rPr>
        <w:t xml:space="preserve">ree </w:t>
      </w:r>
      <w:r w:rsidR="008D75F0">
        <w:rPr>
          <w:rFonts w:ascii="Arial" w:eastAsia="Arial" w:hAnsi="Arial" w:cs="Arial"/>
        </w:rPr>
        <w:t>s</w:t>
      </w:r>
      <w:r>
        <w:rPr>
          <w:rFonts w:ascii="Arial" w:eastAsia="Arial" w:hAnsi="Arial" w:cs="Arial"/>
        </w:rPr>
        <w:t xml:space="preserve">eedlings in an </w:t>
      </w:r>
      <w:r w:rsidR="008D75F0">
        <w:rPr>
          <w:rFonts w:ascii="Arial" w:eastAsia="Arial" w:hAnsi="Arial" w:cs="Arial"/>
        </w:rPr>
        <w:t>e</w:t>
      </w:r>
      <w:r>
        <w:rPr>
          <w:rFonts w:ascii="Arial" w:eastAsia="Arial" w:hAnsi="Arial" w:cs="Arial"/>
        </w:rPr>
        <w:t xml:space="preserve">roded </w:t>
      </w:r>
      <w:r w:rsidR="008D75F0">
        <w:rPr>
          <w:rFonts w:ascii="Arial" w:eastAsia="Arial" w:hAnsi="Arial" w:cs="Arial"/>
        </w:rPr>
        <w:t>t</w:t>
      </w:r>
      <w:r>
        <w:rPr>
          <w:rFonts w:ascii="Arial" w:eastAsia="Arial" w:hAnsi="Arial" w:cs="Arial"/>
        </w:rPr>
        <w:t xml:space="preserve">ropical </w:t>
      </w:r>
      <w:r w:rsidR="008D75F0">
        <w:rPr>
          <w:rFonts w:ascii="Arial" w:eastAsia="Arial" w:hAnsi="Arial" w:cs="Arial"/>
        </w:rPr>
        <w:t>p</w:t>
      </w:r>
      <w:r>
        <w:rPr>
          <w:rFonts w:ascii="Arial" w:eastAsia="Arial" w:hAnsi="Arial" w:cs="Arial"/>
        </w:rPr>
        <w:t xml:space="preserve">asture. Land Degradation &amp; Development 24: 287–295. </w:t>
      </w:r>
    </w:p>
    <w:p w14:paraId="3AA6404F" w14:textId="2A366601" w:rsidR="00D8396D" w:rsidRDefault="00D474E6">
      <w:pPr>
        <w:spacing w:line="480" w:lineRule="auto"/>
        <w:ind w:left="142" w:hanging="142"/>
        <w:rPr>
          <w:rFonts w:ascii="Arial" w:eastAsia="Arial" w:hAnsi="Arial" w:cs="Arial"/>
        </w:rPr>
      </w:pPr>
      <w:r>
        <w:rPr>
          <w:rFonts w:ascii="Arial" w:eastAsia="Arial" w:hAnsi="Arial" w:cs="Arial"/>
        </w:rPr>
        <w:t xml:space="preserve">Matson, P.A., Parton, W.J., Power, A.G. &amp; Swift, M.J. 1997. Agricultural intensification and ecosystem properties. Science: 277: 504-509. </w:t>
      </w:r>
    </w:p>
    <w:p w14:paraId="16FDE753" w14:textId="38E0BDA3" w:rsidR="00D8396D" w:rsidRDefault="00D474E6">
      <w:pPr>
        <w:spacing w:line="480" w:lineRule="auto"/>
        <w:ind w:left="142" w:hanging="142"/>
        <w:rPr>
          <w:rFonts w:ascii="Arial" w:eastAsia="Arial" w:hAnsi="Arial" w:cs="Arial"/>
        </w:rPr>
      </w:pPr>
      <w:r>
        <w:rPr>
          <w:rFonts w:ascii="Arial" w:eastAsia="Arial" w:hAnsi="Arial" w:cs="Arial"/>
        </w:rPr>
        <w:t>Olson, D.M., Dinerstein, E., Wikramanayake, E.D., Burgess, N.D., Powell, G.V.N., Underwood, E.C., D’amico, J. A., Itoua, I., Strand, H.E</w:t>
      </w:r>
      <w:r w:rsidR="008D75F0">
        <w:rPr>
          <w:rFonts w:ascii="Arial" w:eastAsia="Arial" w:hAnsi="Arial" w:cs="Arial"/>
        </w:rPr>
        <w:t xml:space="preserve">., </w:t>
      </w:r>
      <w:r>
        <w:rPr>
          <w:rFonts w:ascii="Arial" w:eastAsia="Arial" w:hAnsi="Arial" w:cs="Arial"/>
        </w:rPr>
        <w:t>(</w:t>
      </w:r>
      <w:r w:rsidR="00965243">
        <w:rPr>
          <w:rFonts w:ascii="Arial" w:eastAsia="Arial" w:hAnsi="Arial" w:cs="Arial"/>
        </w:rPr>
        <w:t>. . .</w:t>
      </w:r>
      <w:r>
        <w:rPr>
          <w:rFonts w:ascii="Arial" w:eastAsia="Arial" w:hAnsi="Arial" w:cs="Arial"/>
        </w:rPr>
        <w:t xml:space="preserve">) &amp;  Kassem, K.R. 2001. Terrestrial </w:t>
      </w:r>
      <w:r w:rsidR="00170E83">
        <w:rPr>
          <w:rFonts w:ascii="Arial" w:eastAsia="Arial" w:hAnsi="Arial" w:cs="Arial"/>
        </w:rPr>
        <w:t>e</w:t>
      </w:r>
      <w:r>
        <w:rPr>
          <w:rFonts w:ascii="Arial" w:eastAsia="Arial" w:hAnsi="Arial" w:cs="Arial"/>
        </w:rPr>
        <w:t xml:space="preserve">coregions of the </w:t>
      </w:r>
      <w:r w:rsidR="00170E83">
        <w:rPr>
          <w:rFonts w:ascii="Arial" w:eastAsia="Arial" w:hAnsi="Arial" w:cs="Arial"/>
        </w:rPr>
        <w:t>w</w:t>
      </w:r>
      <w:r>
        <w:rPr>
          <w:rFonts w:ascii="Arial" w:eastAsia="Arial" w:hAnsi="Arial" w:cs="Arial"/>
        </w:rPr>
        <w:t xml:space="preserve">orld: A </w:t>
      </w:r>
      <w:r w:rsidR="00170E83">
        <w:rPr>
          <w:rFonts w:ascii="Arial" w:eastAsia="Arial" w:hAnsi="Arial" w:cs="Arial"/>
        </w:rPr>
        <w:t>n</w:t>
      </w:r>
      <w:r>
        <w:rPr>
          <w:rFonts w:ascii="Arial" w:eastAsia="Arial" w:hAnsi="Arial" w:cs="Arial"/>
        </w:rPr>
        <w:t xml:space="preserve">ew </w:t>
      </w:r>
      <w:r w:rsidR="00170E83">
        <w:rPr>
          <w:rFonts w:ascii="Arial" w:eastAsia="Arial" w:hAnsi="Arial" w:cs="Arial"/>
        </w:rPr>
        <w:t>m</w:t>
      </w:r>
      <w:r>
        <w:rPr>
          <w:rFonts w:ascii="Arial" w:eastAsia="Arial" w:hAnsi="Arial" w:cs="Arial"/>
        </w:rPr>
        <w:t xml:space="preserve">ap of </w:t>
      </w:r>
      <w:r w:rsidR="00170E83">
        <w:rPr>
          <w:rFonts w:ascii="Arial" w:eastAsia="Arial" w:hAnsi="Arial" w:cs="Arial"/>
        </w:rPr>
        <w:t>l</w:t>
      </w:r>
      <w:r>
        <w:rPr>
          <w:rFonts w:ascii="Arial" w:eastAsia="Arial" w:hAnsi="Arial" w:cs="Arial"/>
        </w:rPr>
        <w:t xml:space="preserve">ife on </w:t>
      </w:r>
      <w:r w:rsidR="00170E83">
        <w:rPr>
          <w:rFonts w:ascii="Arial" w:eastAsia="Arial" w:hAnsi="Arial" w:cs="Arial"/>
        </w:rPr>
        <w:t>e</w:t>
      </w:r>
      <w:r>
        <w:rPr>
          <w:rFonts w:ascii="Arial" w:eastAsia="Arial" w:hAnsi="Arial" w:cs="Arial"/>
        </w:rPr>
        <w:t xml:space="preserve">arth. Bioscience 51: 933. </w:t>
      </w:r>
    </w:p>
    <w:p w14:paraId="0FC2C91C" w14:textId="078F81F7" w:rsidR="008D75F0" w:rsidRDefault="00D474E6">
      <w:pPr>
        <w:spacing w:line="480" w:lineRule="auto"/>
        <w:ind w:left="142" w:hanging="142"/>
        <w:rPr>
          <w:rFonts w:ascii="Arial" w:eastAsia="Arial" w:hAnsi="Arial" w:cs="Arial"/>
          <w:lang w:val="pt-BR"/>
        </w:rPr>
      </w:pPr>
      <w:r>
        <w:rPr>
          <w:rFonts w:ascii="Arial" w:eastAsia="Arial" w:hAnsi="Arial" w:cs="Arial"/>
        </w:rPr>
        <w:t xml:space="preserve">Palmer, M.A., Ambrose, R.F. and Poff, N.L., 1997. Ecological theory and community restoration ecology. </w:t>
      </w:r>
      <w:r w:rsidRPr="00861BCF">
        <w:rPr>
          <w:rFonts w:ascii="Arial" w:eastAsia="Arial" w:hAnsi="Arial" w:cs="Arial"/>
          <w:lang w:val="pt-BR"/>
        </w:rPr>
        <w:t xml:space="preserve">Restoration </w:t>
      </w:r>
      <w:r w:rsidR="00170E83">
        <w:rPr>
          <w:rFonts w:ascii="Arial" w:eastAsia="Arial" w:hAnsi="Arial" w:cs="Arial"/>
          <w:lang w:val="pt-BR"/>
        </w:rPr>
        <w:t>E</w:t>
      </w:r>
      <w:r w:rsidRPr="00861BCF">
        <w:rPr>
          <w:rFonts w:ascii="Arial" w:eastAsia="Arial" w:hAnsi="Arial" w:cs="Arial"/>
          <w:lang w:val="pt-BR"/>
        </w:rPr>
        <w:t>cology, 5</w:t>
      </w:r>
      <w:r w:rsidR="008D75F0">
        <w:rPr>
          <w:rFonts w:ascii="Arial" w:eastAsia="Arial" w:hAnsi="Arial" w:cs="Arial"/>
          <w:lang w:val="pt-BR"/>
        </w:rPr>
        <w:t xml:space="preserve">: </w:t>
      </w:r>
      <w:r w:rsidRPr="00861BCF">
        <w:rPr>
          <w:rFonts w:ascii="Arial" w:eastAsia="Arial" w:hAnsi="Arial" w:cs="Arial"/>
          <w:lang w:val="pt-BR"/>
        </w:rPr>
        <w:t>291-300.</w:t>
      </w:r>
    </w:p>
    <w:p w14:paraId="25A01FB7" w14:textId="657470EE" w:rsidR="00D8396D" w:rsidRDefault="00D474E6">
      <w:pPr>
        <w:spacing w:line="480" w:lineRule="auto"/>
        <w:ind w:left="142" w:hanging="142"/>
        <w:rPr>
          <w:rFonts w:ascii="Arial" w:eastAsia="Arial" w:hAnsi="Arial" w:cs="Arial"/>
        </w:rPr>
      </w:pPr>
      <w:r w:rsidRPr="00861BCF">
        <w:rPr>
          <w:rFonts w:ascii="Arial" w:eastAsia="Arial" w:hAnsi="Arial" w:cs="Arial"/>
          <w:lang w:val="pt-BR"/>
        </w:rPr>
        <w:lastRenderedPageBreak/>
        <w:t xml:space="preserve">Pardini, R., de Arruda Bueno, A., Gardner, T.A., Prado, P.I. &amp; Metzger, J.P., 2010. </w:t>
      </w:r>
      <w:r>
        <w:rPr>
          <w:rFonts w:ascii="Arial" w:eastAsia="Arial" w:hAnsi="Arial" w:cs="Arial"/>
        </w:rPr>
        <w:t xml:space="preserve">Beyond the fragmentation threshold hypothesis: regime shifts in biodiversity across fragmented landscapes. PloS </w:t>
      </w:r>
      <w:r w:rsidR="00170E83">
        <w:rPr>
          <w:rFonts w:ascii="Arial" w:eastAsia="Arial" w:hAnsi="Arial" w:cs="Arial"/>
        </w:rPr>
        <w:t>O</w:t>
      </w:r>
      <w:r>
        <w:rPr>
          <w:rFonts w:ascii="Arial" w:eastAsia="Arial" w:hAnsi="Arial" w:cs="Arial"/>
        </w:rPr>
        <w:t>ne, 5, p.e13666</w:t>
      </w:r>
      <w:r w:rsidR="005512A6">
        <w:rPr>
          <w:rFonts w:ascii="Arial" w:eastAsia="Arial" w:hAnsi="Arial" w:cs="Arial"/>
        </w:rPr>
        <w:t xml:space="preserve">, doi: </w:t>
      </w:r>
      <w:r w:rsidR="005512A6" w:rsidRPr="00D63B7E">
        <w:rPr>
          <w:rFonts w:ascii="Arial" w:eastAsia="Arial" w:hAnsi="Arial" w:cs="Arial"/>
        </w:rPr>
        <w:t>10.1371/journal.pone.0013666.</w:t>
      </w:r>
    </w:p>
    <w:p w14:paraId="0AED6AAD" w14:textId="13A58F8B" w:rsidR="00D8396D" w:rsidRDefault="00D474E6">
      <w:pPr>
        <w:spacing w:line="480" w:lineRule="auto"/>
        <w:ind w:left="142" w:hanging="142"/>
        <w:rPr>
          <w:rFonts w:ascii="Arial" w:eastAsia="Arial" w:hAnsi="Arial" w:cs="Arial"/>
        </w:rPr>
      </w:pPr>
      <w:r>
        <w:rPr>
          <w:rFonts w:ascii="Arial" w:eastAsia="Arial" w:hAnsi="Arial" w:cs="Arial"/>
        </w:rPr>
        <w:t xml:space="preserve">Perring, M.P., Standish, R.J., Price, J.N., Craig, M.D., Erickson, T.E., Ruthrof, K.X., Whiteley, A.S., Valentine, L.E. &amp; Hobbs, R.J. 2015a. Advances in restoration ecology: </w:t>
      </w:r>
      <w:r w:rsidR="00965243">
        <w:rPr>
          <w:rFonts w:ascii="Arial" w:eastAsia="Arial" w:hAnsi="Arial" w:cs="Arial"/>
        </w:rPr>
        <w:t>R</w:t>
      </w:r>
      <w:r>
        <w:rPr>
          <w:rFonts w:ascii="Arial" w:eastAsia="Arial" w:hAnsi="Arial" w:cs="Arial"/>
        </w:rPr>
        <w:t>ising to the challenges of the coming decades. Ecosphere 6: 1-25</w:t>
      </w:r>
      <w:r w:rsidR="005512A6">
        <w:rPr>
          <w:rFonts w:ascii="Arial" w:eastAsia="Arial" w:hAnsi="Arial" w:cs="Arial"/>
        </w:rPr>
        <w:t>,</w:t>
      </w:r>
      <w:r w:rsidR="00603D50">
        <w:rPr>
          <w:rFonts w:ascii="Arial" w:eastAsia="Arial" w:hAnsi="Arial" w:cs="Arial"/>
        </w:rPr>
        <w:t xml:space="preserve"> doi</w:t>
      </w:r>
      <w:r w:rsidR="00603D50" w:rsidRPr="00603D50">
        <w:rPr>
          <w:rFonts w:ascii="Arial" w:eastAsia="Arial" w:hAnsi="Arial" w:cs="Arial"/>
        </w:rPr>
        <w:t>: 10.1890/ES15-00121.1</w:t>
      </w:r>
      <w:r w:rsidR="005512A6">
        <w:rPr>
          <w:rFonts w:ascii="Arial" w:eastAsia="Arial" w:hAnsi="Arial" w:cs="Arial"/>
        </w:rPr>
        <w:t>.</w:t>
      </w:r>
    </w:p>
    <w:p w14:paraId="5122355B" w14:textId="77777777" w:rsidR="00D8396D" w:rsidRDefault="00D474E6">
      <w:pPr>
        <w:spacing w:line="480" w:lineRule="auto"/>
        <w:ind w:left="142" w:hanging="142"/>
        <w:rPr>
          <w:rFonts w:ascii="Arial" w:eastAsia="Arial" w:hAnsi="Arial" w:cs="Arial"/>
        </w:rPr>
      </w:pPr>
      <w:r>
        <w:rPr>
          <w:rFonts w:ascii="Arial" w:eastAsia="Arial" w:hAnsi="Arial" w:cs="Arial"/>
        </w:rPr>
        <w:t>Perring, M.P., Jonson, J., Freudenberger, D., Campbell, R., Rooney, M., Hobbs, R.J. &amp; Standish, R.J. 2015b. Soil-vegetation type, stem density and species richness influence biomass of restored woodland in south-western Australia. Forest Ecology Management 344: 53–62.</w:t>
      </w:r>
    </w:p>
    <w:p w14:paraId="2865BAFA" w14:textId="781C771E" w:rsidR="00D8396D" w:rsidRDefault="00D474E6">
      <w:pPr>
        <w:spacing w:line="480" w:lineRule="auto"/>
        <w:ind w:left="142" w:hanging="142"/>
        <w:rPr>
          <w:rFonts w:ascii="Arial" w:eastAsia="Arial" w:hAnsi="Arial" w:cs="Arial"/>
        </w:rPr>
      </w:pPr>
      <w:r>
        <w:rPr>
          <w:rFonts w:ascii="Arial" w:eastAsia="Arial" w:hAnsi="Arial" w:cs="Arial"/>
        </w:rPr>
        <w:t>Poorter, L. &amp; Markesteijn, L. 2008. Seedling traits determine drought tolerance of tropical tree species. Biotropica 40: 321-331.</w:t>
      </w:r>
    </w:p>
    <w:p w14:paraId="61C2D745" w14:textId="2FB37A05" w:rsidR="00D8396D" w:rsidRDefault="00D474E6">
      <w:pPr>
        <w:spacing w:line="480" w:lineRule="auto"/>
        <w:ind w:left="142" w:hanging="142"/>
        <w:rPr>
          <w:rFonts w:ascii="Arial" w:eastAsia="Arial" w:hAnsi="Arial" w:cs="Arial"/>
        </w:rPr>
      </w:pPr>
      <w:r>
        <w:rPr>
          <w:rFonts w:ascii="Arial" w:eastAsia="Arial" w:hAnsi="Arial" w:cs="Arial"/>
        </w:rPr>
        <w:t>Poorter, L., Bongers, F., Aide, T.M., Zambrano, A.M.A., Balvanera, P., Becknell, J.M., Boukili, V., Brancalion, P.H.S., Broadbent</w:t>
      </w:r>
      <w:r w:rsidR="00E27883">
        <w:rPr>
          <w:rFonts w:ascii="Arial" w:eastAsia="Arial" w:hAnsi="Arial" w:cs="Arial"/>
        </w:rPr>
        <w:t>, E.N.</w:t>
      </w:r>
      <w:r w:rsidR="00EB5D2C">
        <w:rPr>
          <w:rFonts w:ascii="Arial" w:eastAsia="Arial" w:hAnsi="Arial" w:cs="Arial"/>
        </w:rPr>
        <w:t>,</w:t>
      </w:r>
      <w:r>
        <w:rPr>
          <w:rFonts w:ascii="Arial" w:eastAsia="Arial" w:hAnsi="Arial" w:cs="Arial"/>
        </w:rPr>
        <w:t xml:space="preserve"> (</w:t>
      </w:r>
      <w:r w:rsidR="00965243">
        <w:rPr>
          <w:rFonts w:ascii="Arial" w:eastAsia="Arial" w:hAnsi="Arial" w:cs="Arial"/>
        </w:rPr>
        <w:t>. . .</w:t>
      </w:r>
      <w:r>
        <w:rPr>
          <w:rFonts w:ascii="Arial" w:eastAsia="Arial" w:hAnsi="Arial" w:cs="Arial"/>
        </w:rPr>
        <w:t xml:space="preserve">) &amp; Rozendaal, D.M.A. 2016. Biomass resilience of </w:t>
      </w:r>
      <w:r w:rsidR="00D63B7E">
        <w:rPr>
          <w:rFonts w:ascii="Arial" w:eastAsia="Arial" w:hAnsi="Arial" w:cs="Arial"/>
        </w:rPr>
        <w:t>n</w:t>
      </w:r>
      <w:r>
        <w:rPr>
          <w:rFonts w:ascii="Arial" w:eastAsia="Arial" w:hAnsi="Arial" w:cs="Arial"/>
        </w:rPr>
        <w:t xml:space="preserve">eotropical secondary forests. Nature 530: 211-214. </w:t>
      </w:r>
    </w:p>
    <w:p w14:paraId="0AC952BA" w14:textId="77777777" w:rsidR="00D8396D" w:rsidRDefault="00D474E6">
      <w:pPr>
        <w:spacing w:line="480" w:lineRule="auto"/>
        <w:ind w:left="142" w:hanging="142"/>
        <w:rPr>
          <w:rFonts w:ascii="Arial" w:eastAsia="Arial" w:hAnsi="Arial" w:cs="Arial"/>
        </w:rPr>
      </w:pPr>
      <w:r>
        <w:rPr>
          <w:rFonts w:ascii="Arial" w:eastAsia="Arial" w:hAnsi="Arial" w:cs="Arial"/>
        </w:rPr>
        <w:t>Randrianarison, A., Schlaepfer, R., Mills, R., Hervé, D., Razanaka, S., Rakotoarimanana, V., Carrière, S.M. &amp; Buttler, A. 2016. Linking historical land-use to present vegetation and soil characteristics under slash</w:t>
      </w:r>
      <w:r>
        <w:rPr>
          <w:rFonts w:ascii="Cambria Math" w:eastAsia="Cambria Math" w:hAnsi="Cambria Math" w:cs="Cambria Math"/>
        </w:rPr>
        <w:t>‐</w:t>
      </w:r>
      <w:r>
        <w:rPr>
          <w:rFonts w:ascii="Arial" w:eastAsia="Arial" w:hAnsi="Arial" w:cs="Arial"/>
        </w:rPr>
        <w:t>and</w:t>
      </w:r>
      <w:r>
        <w:rPr>
          <w:rFonts w:ascii="Cambria Math" w:eastAsia="Cambria Math" w:hAnsi="Cambria Math" w:cs="Cambria Math"/>
        </w:rPr>
        <w:t>‐</w:t>
      </w:r>
      <w:r>
        <w:rPr>
          <w:rFonts w:ascii="Arial" w:eastAsia="Arial" w:hAnsi="Arial" w:cs="Arial"/>
        </w:rPr>
        <w:t>burn cultivation in Madagascar. Applied Vegetation Science 19: 40-52.</w:t>
      </w:r>
    </w:p>
    <w:p w14:paraId="6877692F" w14:textId="685A1482" w:rsidR="00D8396D" w:rsidRPr="00861BCF" w:rsidRDefault="00D474E6">
      <w:pPr>
        <w:spacing w:line="480" w:lineRule="auto"/>
        <w:ind w:left="142" w:hanging="142"/>
        <w:rPr>
          <w:rFonts w:ascii="Arial" w:eastAsia="Arial" w:hAnsi="Arial" w:cs="Arial"/>
          <w:lang w:val="pt-BR"/>
        </w:rPr>
      </w:pPr>
      <w:r>
        <w:rPr>
          <w:rFonts w:ascii="Arial" w:eastAsia="Arial" w:hAnsi="Arial" w:cs="Arial"/>
        </w:rPr>
        <w:t xml:space="preserve">Reid, J.L., Holl, K.D. &amp; Zahawi, R.A. 2015. Seed dispersal limitations shift over time in tropical forest restoration. </w:t>
      </w:r>
      <w:r w:rsidRPr="00861BCF">
        <w:rPr>
          <w:rFonts w:ascii="Arial" w:eastAsia="Arial" w:hAnsi="Arial" w:cs="Arial"/>
          <w:lang w:val="pt-BR"/>
        </w:rPr>
        <w:t>Ecological Applications 25: 1072-1082.</w:t>
      </w:r>
    </w:p>
    <w:p w14:paraId="480B1215" w14:textId="2158E9E3" w:rsidR="00D8396D" w:rsidRDefault="00D474E6">
      <w:pPr>
        <w:spacing w:line="480" w:lineRule="auto"/>
        <w:ind w:left="142" w:hanging="142"/>
        <w:rPr>
          <w:rFonts w:ascii="Arial" w:eastAsia="Arial" w:hAnsi="Arial" w:cs="Arial"/>
        </w:rPr>
      </w:pPr>
      <w:r w:rsidRPr="00861BCF">
        <w:rPr>
          <w:rFonts w:ascii="Arial" w:eastAsia="Arial" w:hAnsi="Arial" w:cs="Arial"/>
          <w:lang w:val="pt-BR"/>
        </w:rPr>
        <w:t xml:space="preserve">Ribeiro, S.C., Botelho, S.A., Fontes, M.A.L., Garcia, P.O. &amp; Almeida, H.D.S. 2013. </w:t>
      </w:r>
      <w:r>
        <w:rPr>
          <w:rFonts w:ascii="Arial" w:eastAsia="Arial" w:hAnsi="Arial" w:cs="Arial"/>
        </w:rPr>
        <w:t xml:space="preserve">Natural regeneration of deforested areas dominated by </w:t>
      </w:r>
      <w:r>
        <w:rPr>
          <w:rFonts w:ascii="Arial" w:eastAsia="Arial" w:hAnsi="Arial" w:cs="Arial"/>
          <w:i/>
        </w:rPr>
        <w:t>Pteridium aquilinum</w:t>
      </w:r>
      <w:r>
        <w:rPr>
          <w:rFonts w:ascii="Arial" w:eastAsia="Arial" w:hAnsi="Arial" w:cs="Arial"/>
        </w:rPr>
        <w:t xml:space="preserve"> (L.) Kuhn located in the </w:t>
      </w:r>
      <w:r>
        <w:rPr>
          <w:rFonts w:ascii="Arial" w:eastAsia="Arial" w:hAnsi="Arial" w:cs="Arial"/>
        </w:rPr>
        <w:lastRenderedPageBreak/>
        <w:t>Serra da Mantiqueira mountain range. Cerne 19: 65-76.</w:t>
      </w:r>
    </w:p>
    <w:p w14:paraId="6BC17995" w14:textId="5495EBBF" w:rsidR="00D8396D" w:rsidRPr="00861BCF" w:rsidRDefault="00D474E6">
      <w:pPr>
        <w:spacing w:line="480" w:lineRule="auto"/>
        <w:ind w:left="142" w:hanging="142"/>
        <w:rPr>
          <w:rFonts w:ascii="Arial" w:eastAsia="Arial" w:hAnsi="Arial" w:cs="Arial"/>
          <w:lang w:val="pt-BR"/>
        </w:rPr>
      </w:pPr>
      <w:r>
        <w:rPr>
          <w:rFonts w:ascii="Arial" w:eastAsia="Arial" w:hAnsi="Arial" w:cs="Arial"/>
        </w:rPr>
        <w:t xml:space="preserve">Ricklefs, R.E. 1987. Community diversity: relative roles of local and regional processes. </w:t>
      </w:r>
      <w:r w:rsidRPr="00861BCF">
        <w:rPr>
          <w:rFonts w:ascii="Arial" w:eastAsia="Arial" w:hAnsi="Arial" w:cs="Arial"/>
          <w:lang w:val="pt-BR"/>
        </w:rPr>
        <w:t xml:space="preserve">Science 235: 167-171. </w:t>
      </w:r>
    </w:p>
    <w:p w14:paraId="78622DAE" w14:textId="109A5C82" w:rsidR="00D8396D" w:rsidRDefault="00D474E6">
      <w:pPr>
        <w:spacing w:line="480" w:lineRule="auto"/>
        <w:ind w:left="142" w:hanging="142"/>
        <w:rPr>
          <w:rFonts w:ascii="Arial" w:eastAsia="Arial" w:hAnsi="Arial" w:cs="Arial"/>
        </w:rPr>
      </w:pPr>
      <w:r w:rsidRPr="00861BCF">
        <w:rPr>
          <w:rFonts w:ascii="Arial" w:eastAsia="Arial" w:hAnsi="Arial" w:cs="Arial"/>
          <w:lang w:val="pt-BR"/>
        </w:rPr>
        <w:t xml:space="preserve">Rodrigues, R.R., Lima, R.A.F., Gandolfi, S. &amp; Nave, A.G. 2009. </w:t>
      </w:r>
      <w:r>
        <w:rPr>
          <w:rFonts w:ascii="Arial" w:eastAsia="Arial" w:hAnsi="Arial" w:cs="Arial"/>
        </w:rPr>
        <w:t xml:space="preserve">On the restoration of high diversity forests: 30 years of experience in the Brazilian Atlantic </w:t>
      </w:r>
      <w:r w:rsidR="00D63B7E">
        <w:rPr>
          <w:rFonts w:ascii="Arial" w:eastAsia="Arial" w:hAnsi="Arial" w:cs="Arial"/>
        </w:rPr>
        <w:t>f</w:t>
      </w:r>
      <w:r>
        <w:rPr>
          <w:rFonts w:ascii="Arial" w:eastAsia="Arial" w:hAnsi="Arial" w:cs="Arial"/>
        </w:rPr>
        <w:t xml:space="preserve">orest. Biological Conservation 142: 1242–1251. </w:t>
      </w:r>
    </w:p>
    <w:p w14:paraId="697F636B" w14:textId="77777777" w:rsidR="00D8396D" w:rsidRDefault="00D474E6">
      <w:pPr>
        <w:spacing w:line="480" w:lineRule="auto"/>
        <w:ind w:left="142" w:hanging="142"/>
        <w:rPr>
          <w:rFonts w:ascii="Arial" w:eastAsia="Arial" w:hAnsi="Arial" w:cs="Arial"/>
        </w:rPr>
      </w:pPr>
      <w:r>
        <w:rPr>
          <w:rFonts w:ascii="Arial" w:eastAsia="Arial" w:hAnsi="Arial" w:cs="Arial"/>
        </w:rPr>
        <w:t xml:space="preserve">Rüger, N., Wirth, C., Wright, S.J. &amp; Condit, R. 2012. Functional traits explain light and size response of growth rates in tropical tree species. Ecology 93: 2626–2636. </w:t>
      </w:r>
    </w:p>
    <w:p w14:paraId="5715FFC6" w14:textId="0198562E" w:rsidR="00D8396D" w:rsidRDefault="00D474E6">
      <w:pPr>
        <w:spacing w:line="480" w:lineRule="auto"/>
        <w:ind w:left="142" w:hanging="142"/>
        <w:rPr>
          <w:rFonts w:ascii="Arial" w:eastAsia="Arial" w:hAnsi="Arial" w:cs="Arial"/>
        </w:rPr>
      </w:pPr>
      <w:r>
        <w:rPr>
          <w:rFonts w:ascii="Arial" w:eastAsia="Arial" w:hAnsi="Arial" w:cs="Arial"/>
        </w:rPr>
        <w:t>Schamp, B.S. &amp; Aarssen, L. W. 2009. The assembly of forest communities according to maximum species height along resource and disturbance gradients. Oikos 118: 564-572.</w:t>
      </w:r>
    </w:p>
    <w:p w14:paraId="02022B18" w14:textId="578CFED1" w:rsidR="00D8396D" w:rsidRDefault="00D474E6">
      <w:pPr>
        <w:spacing w:line="480" w:lineRule="auto"/>
        <w:ind w:left="142" w:hanging="142"/>
        <w:rPr>
          <w:rFonts w:ascii="Arial" w:eastAsia="Arial" w:hAnsi="Arial" w:cs="Arial"/>
        </w:rPr>
      </w:pPr>
      <w:r>
        <w:rPr>
          <w:rFonts w:ascii="Arial" w:eastAsia="Arial" w:hAnsi="Arial" w:cs="Arial"/>
        </w:rPr>
        <w:t xml:space="preserve">Scudeller, V.V., Martins, F.R. &amp; Shepherd, G.J. 2001. Distribution and abundance of arboreal species in the atlantic ombrophilous dense forest in Southeastern Brazil. Plant </w:t>
      </w:r>
      <w:r w:rsidR="00170E83">
        <w:rPr>
          <w:rFonts w:ascii="Arial" w:eastAsia="Arial" w:hAnsi="Arial" w:cs="Arial"/>
        </w:rPr>
        <w:t>E</w:t>
      </w:r>
      <w:r>
        <w:rPr>
          <w:rFonts w:ascii="Arial" w:eastAsia="Arial" w:hAnsi="Arial" w:cs="Arial"/>
        </w:rPr>
        <w:t>cology 152:185-199.</w:t>
      </w:r>
    </w:p>
    <w:p w14:paraId="283BFB3B" w14:textId="77777777" w:rsidR="00D8396D" w:rsidRDefault="00D474E6">
      <w:pPr>
        <w:spacing w:line="480" w:lineRule="auto"/>
        <w:ind w:left="142" w:hanging="142"/>
        <w:rPr>
          <w:rFonts w:ascii="Arial" w:eastAsia="Arial" w:hAnsi="Arial" w:cs="Arial"/>
        </w:rPr>
      </w:pPr>
      <w:r>
        <w:rPr>
          <w:rFonts w:ascii="Arial" w:eastAsia="Arial" w:hAnsi="Arial" w:cs="Arial"/>
        </w:rPr>
        <w:t xml:space="preserve">Souza, J.T., Ferraz, E.M.N., Albuquerque, U.P. &amp; Araújo, E.L. 2014. Does proximity to a mature forest contribute to the seed rain and recovery of an abandoned agriculture area in a semiarid climate? Plant Biology 16: 748–756. </w:t>
      </w:r>
    </w:p>
    <w:p w14:paraId="2021D32A" w14:textId="120B08A7" w:rsidR="00D8396D" w:rsidRDefault="00D474E6">
      <w:pPr>
        <w:spacing w:line="480" w:lineRule="auto"/>
        <w:ind w:left="142" w:hanging="142"/>
        <w:rPr>
          <w:rFonts w:ascii="Arial" w:eastAsia="Arial" w:hAnsi="Arial" w:cs="Arial"/>
        </w:rPr>
      </w:pPr>
      <w:r>
        <w:rPr>
          <w:rFonts w:ascii="Arial" w:eastAsia="Arial" w:hAnsi="Arial" w:cs="Arial"/>
        </w:rPr>
        <w:t>Suding, K., Higgs, E., Palmer, M., Callicott, J.B., Anderson, C.B., Baker, M., Gutrich, J.J., Hondula, K.L., LaFevor, M.C.</w:t>
      </w:r>
      <w:r w:rsidR="00EB5D2C">
        <w:rPr>
          <w:rFonts w:ascii="Arial" w:eastAsia="Arial" w:hAnsi="Arial" w:cs="Arial"/>
        </w:rPr>
        <w:t>,</w:t>
      </w:r>
      <w:r>
        <w:rPr>
          <w:rFonts w:ascii="Arial" w:eastAsia="Arial" w:hAnsi="Arial" w:cs="Arial"/>
        </w:rPr>
        <w:t xml:space="preserve"> (</w:t>
      </w:r>
      <w:r w:rsidR="009C37D1">
        <w:rPr>
          <w:rFonts w:ascii="Arial" w:eastAsia="Arial" w:hAnsi="Arial" w:cs="Arial"/>
        </w:rPr>
        <w:t xml:space="preserve">. . .) </w:t>
      </w:r>
      <w:r w:rsidR="00D1797A">
        <w:rPr>
          <w:rFonts w:ascii="Arial" w:eastAsia="Arial" w:hAnsi="Arial" w:cs="Arial"/>
        </w:rPr>
        <w:t>&amp; Schwartz</w:t>
      </w:r>
      <w:r>
        <w:rPr>
          <w:rFonts w:ascii="Arial" w:eastAsia="Arial" w:hAnsi="Arial" w:cs="Arial"/>
        </w:rPr>
        <w:t xml:space="preserve">, K.Z.S. 2015. Committing to ecological restoration. Science 348: 638–640. </w:t>
      </w:r>
    </w:p>
    <w:p w14:paraId="4CAEBCBC" w14:textId="01B0559F" w:rsidR="00D8396D" w:rsidRDefault="00D474E6">
      <w:pPr>
        <w:spacing w:line="480" w:lineRule="auto"/>
        <w:ind w:left="142" w:hanging="142"/>
        <w:rPr>
          <w:rFonts w:ascii="Arial" w:eastAsia="Arial" w:hAnsi="Arial" w:cs="Arial"/>
        </w:rPr>
      </w:pPr>
      <w:r>
        <w:rPr>
          <w:rFonts w:ascii="Arial" w:eastAsia="Arial" w:hAnsi="Arial" w:cs="Arial"/>
        </w:rPr>
        <w:t xml:space="preserve">Suding, K.N. 2011. Toward an </w:t>
      </w:r>
      <w:r w:rsidR="00EB5D2C">
        <w:rPr>
          <w:rFonts w:ascii="Arial" w:eastAsia="Arial" w:hAnsi="Arial" w:cs="Arial"/>
        </w:rPr>
        <w:t>e</w:t>
      </w:r>
      <w:r>
        <w:rPr>
          <w:rFonts w:ascii="Arial" w:eastAsia="Arial" w:hAnsi="Arial" w:cs="Arial"/>
        </w:rPr>
        <w:t xml:space="preserve">ra of </w:t>
      </w:r>
      <w:r w:rsidR="00EB5D2C">
        <w:rPr>
          <w:rFonts w:ascii="Arial" w:eastAsia="Arial" w:hAnsi="Arial" w:cs="Arial"/>
        </w:rPr>
        <w:t>r</w:t>
      </w:r>
      <w:r>
        <w:rPr>
          <w:rFonts w:ascii="Arial" w:eastAsia="Arial" w:hAnsi="Arial" w:cs="Arial"/>
        </w:rPr>
        <w:t xml:space="preserve">estoration in </w:t>
      </w:r>
      <w:r w:rsidR="00EB5D2C">
        <w:rPr>
          <w:rFonts w:ascii="Arial" w:eastAsia="Arial" w:hAnsi="Arial" w:cs="Arial"/>
        </w:rPr>
        <w:t>e</w:t>
      </w:r>
      <w:r>
        <w:rPr>
          <w:rFonts w:ascii="Arial" w:eastAsia="Arial" w:hAnsi="Arial" w:cs="Arial"/>
        </w:rPr>
        <w:t xml:space="preserve">cology: </w:t>
      </w:r>
      <w:r w:rsidR="009C37D1">
        <w:rPr>
          <w:rFonts w:ascii="Arial" w:eastAsia="Arial" w:hAnsi="Arial" w:cs="Arial"/>
        </w:rPr>
        <w:t>S</w:t>
      </w:r>
      <w:r>
        <w:rPr>
          <w:rFonts w:ascii="Arial" w:eastAsia="Arial" w:hAnsi="Arial" w:cs="Arial"/>
        </w:rPr>
        <w:t xml:space="preserve">uccesses, </w:t>
      </w:r>
      <w:r w:rsidR="00EB5D2C">
        <w:rPr>
          <w:rFonts w:ascii="Arial" w:eastAsia="Arial" w:hAnsi="Arial" w:cs="Arial"/>
        </w:rPr>
        <w:t>f</w:t>
      </w:r>
      <w:r>
        <w:rPr>
          <w:rFonts w:ascii="Arial" w:eastAsia="Arial" w:hAnsi="Arial" w:cs="Arial"/>
        </w:rPr>
        <w:t xml:space="preserve">ailures, and </w:t>
      </w:r>
      <w:r w:rsidR="00EB5D2C">
        <w:rPr>
          <w:rFonts w:ascii="Arial" w:eastAsia="Arial" w:hAnsi="Arial" w:cs="Arial"/>
        </w:rPr>
        <w:t>o</w:t>
      </w:r>
      <w:r>
        <w:rPr>
          <w:rFonts w:ascii="Arial" w:eastAsia="Arial" w:hAnsi="Arial" w:cs="Arial"/>
        </w:rPr>
        <w:t xml:space="preserve">pportunities </w:t>
      </w:r>
      <w:r w:rsidR="00EB5D2C">
        <w:rPr>
          <w:rFonts w:ascii="Arial" w:eastAsia="Arial" w:hAnsi="Arial" w:cs="Arial"/>
        </w:rPr>
        <w:t>a</w:t>
      </w:r>
      <w:r>
        <w:rPr>
          <w:rFonts w:ascii="Arial" w:eastAsia="Arial" w:hAnsi="Arial" w:cs="Arial"/>
        </w:rPr>
        <w:t xml:space="preserve">head. </w:t>
      </w:r>
      <w:r w:rsidR="00EB5D2C" w:rsidRPr="00EB5D2C">
        <w:rPr>
          <w:rFonts w:ascii="Arial" w:eastAsia="Arial" w:hAnsi="Arial" w:cs="Arial"/>
        </w:rPr>
        <w:t>Annual Review of Ecology, Evolution, and Systematics</w:t>
      </w:r>
      <w:r w:rsidR="00EB5D2C" w:rsidRPr="00EB5D2C" w:rsidDel="00EB5D2C">
        <w:rPr>
          <w:rFonts w:ascii="Arial" w:eastAsia="Arial" w:hAnsi="Arial" w:cs="Arial"/>
        </w:rPr>
        <w:t xml:space="preserve"> </w:t>
      </w:r>
      <w:r>
        <w:rPr>
          <w:rFonts w:ascii="Arial" w:eastAsia="Arial" w:hAnsi="Arial" w:cs="Arial"/>
        </w:rPr>
        <w:t xml:space="preserve">42: 465–487. </w:t>
      </w:r>
    </w:p>
    <w:p w14:paraId="0D0575EC" w14:textId="61DC0E87" w:rsidR="00D8396D" w:rsidRDefault="00D474E6">
      <w:pPr>
        <w:spacing w:line="480" w:lineRule="auto"/>
        <w:ind w:left="142" w:hanging="142"/>
        <w:rPr>
          <w:rFonts w:ascii="Arial" w:eastAsia="Arial" w:hAnsi="Arial" w:cs="Arial"/>
        </w:rPr>
      </w:pPr>
      <w:r>
        <w:rPr>
          <w:rFonts w:ascii="Arial" w:eastAsia="Arial" w:hAnsi="Arial" w:cs="Arial"/>
        </w:rPr>
        <w:t xml:space="preserve">Webb, T.J., Woodward, F.I., Hannah, L. &amp; Gaston, K.J. 2005. Forest cover–rainfall </w:t>
      </w:r>
      <w:r>
        <w:rPr>
          <w:rFonts w:ascii="Arial" w:eastAsia="Arial" w:hAnsi="Arial" w:cs="Arial"/>
        </w:rPr>
        <w:lastRenderedPageBreak/>
        <w:t xml:space="preserve">relationships in a biodiversity hotspot: </w:t>
      </w:r>
      <w:r w:rsidR="009C37D1">
        <w:rPr>
          <w:rFonts w:ascii="Arial" w:eastAsia="Arial" w:hAnsi="Arial" w:cs="Arial"/>
        </w:rPr>
        <w:t>T</w:t>
      </w:r>
      <w:r>
        <w:rPr>
          <w:rFonts w:ascii="Arial" w:eastAsia="Arial" w:hAnsi="Arial" w:cs="Arial"/>
        </w:rPr>
        <w:t>he Atlantic forest of Brazil. Ecological Applications 15: 1968-1983.</w:t>
      </w:r>
    </w:p>
    <w:p w14:paraId="25898686" w14:textId="7781DFB6" w:rsidR="00D8396D" w:rsidRDefault="00D474E6">
      <w:pPr>
        <w:spacing w:line="480" w:lineRule="auto"/>
        <w:ind w:left="142" w:hanging="142"/>
        <w:rPr>
          <w:rFonts w:ascii="Arial" w:eastAsia="Arial" w:hAnsi="Arial" w:cs="Arial"/>
        </w:rPr>
      </w:pPr>
      <w:r>
        <w:rPr>
          <w:rFonts w:ascii="Arial" w:eastAsia="Arial" w:hAnsi="Arial" w:cs="Arial"/>
        </w:rPr>
        <w:t xml:space="preserve">Wolf, A., Doughty, C.E. &amp; Malhi, Y. 2013. Lateral </w:t>
      </w:r>
      <w:r w:rsidR="001B2E1D">
        <w:rPr>
          <w:rFonts w:ascii="Arial" w:eastAsia="Arial" w:hAnsi="Arial" w:cs="Arial"/>
        </w:rPr>
        <w:t>d</w:t>
      </w:r>
      <w:r>
        <w:rPr>
          <w:rFonts w:ascii="Arial" w:eastAsia="Arial" w:hAnsi="Arial" w:cs="Arial"/>
        </w:rPr>
        <w:t xml:space="preserve">iffusion of </w:t>
      </w:r>
      <w:r w:rsidR="001B2E1D">
        <w:rPr>
          <w:rFonts w:ascii="Arial" w:eastAsia="Arial" w:hAnsi="Arial" w:cs="Arial"/>
        </w:rPr>
        <w:t>n</w:t>
      </w:r>
      <w:r>
        <w:rPr>
          <w:rFonts w:ascii="Arial" w:eastAsia="Arial" w:hAnsi="Arial" w:cs="Arial"/>
        </w:rPr>
        <w:t xml:space="preserve">utrients by </w:t>
      </w:r>
      <w:r w:rsidR="001B2E1D">
        <w:rPr>
          <w:rFonts w:ascii="Arial" w:eastAsia="Arial" w:hAnsi="Arial" w:cs="Arial"/>
        </w:rPr>
        <w:t>m</w:t>
      </w:r>
      <w:r>
        <w:rPr>
          <w:rFonts w:ascii="Arial" w:eastAsia="Arial" w:hAnsi="Arial" w:cs="Arial"/>
        </w:rPr>
        <w:t xml:space="preserve">ammalian </w:t>
      </w:r>
      <w:r w:rsidR="001B2E1D">
        <w:rPr>
          <w:rFonts w:ascii="Arial" w:eastAsia="Arial" w:hAnsi="Arial" w:cs="Arial"/>
        </w:rPr>
        <w:t>h</w:t>
      </w:r>
      <w:r>
        <w:rPr>
          <w:rFonts w:ascii="Arial" w:eastAsia="Arial" w:hAnsi="Arial" w:cs="Arial"/>
        </w:rPr>
        <w:t xml:space="preserve">erbivores in </w:t>
      </w:r>
      <w:r w:rsidR="001B2E1D">
        <w:rPr>
          <w:rFonts w:ascii="Arial" w:eastAsia="Arial" w:hAnsi="Arial" w:cs="Arial"/>
        </w:rPr>
        <w:t>t</w:t>
      </w:r>
      <w:r>
        <w:rPr>
          <w:rFonts w:ascii="Arial" w:eastAsia="Arial" w:hAnsi="Arial" w:cs="Arial"/>
        </w:rPr>
        <w:t xml:space="preserve">errestrial </w:t>
      </w:r>
      <w:r w:rsidR="001B2E1D">
        <w:rPr>
          <w:rFonts w:ascii="Arial" w:eastAsia="Arial" w:hAnsi="Arial" w:cs="Arial"/>
        </w:rPr>
        <w:t>e</w:t>
      </w:r>
      <w:r>
        <w:rPr>
          <w:rFonts w:ascii="Arial" w:eastAsia="Arial" w:hAnsi="Arial" w:cs="Arial"/>
        </w:rPr>
        <w:t>cosystems. PLoS One 8: 1–10</w:t>
      </w:r>
      <w:r w:rsidR="001B2E1D">
        <w:rPr>
          <w:rFonts w:ascii="Arial" w:eastAsia="Arial" w:hAnsi="Arial" w:cs="Arial"/>
        </w:rPr>
        <w:t xml:space="preserve">, </w:t>
      </w:r>
      <w:r w:rsidR="001B2E1D" w:rsidRPr="00D63B7E">
        <w:rPr>
          <w:rFonts w:ascii="Arial" w:eastAsia="Arial" w:hAnsi="Arial" w:cs="Arial"/>
        </w:rPr>
        <w:t>e71352,</w:t>
      </w:r>
      <w:r w:rsidR="005512A6" w:rsidRPr="00D63B7E">
        <w:rPr>
          <w:rFonts w:ascii="Arial" w:eastAsia="Arial" w:hAnsi="Arial" w:cs="Arial"/>
        </w:rPr>
        <w:t xml:space="preserve"> doi:10.1371/journal.pone.0071352</w:t>
      </w:r>
      <w:r>
        <w:rPr>
          <w:rFonts w:ascii="Arial" w:eastAsia="Arial" w:hAnsi="Arial" w:cs="Arial"/>
        </w:rPr>
        <w:t>.</w:t>
      </w:r>
    </w:p>
    <w:p w14:paraId="27FA8777" w14:textId="1792DE8A" w:rsidR="00D8396D" w:rsidRDefault="00D474E6">
      <w:pPr>
        <w:spacing w:line="480" w:lineRule="auto"/>
        <w:ind w:left="142" w:hanging="142"/>
        <w:rPr>
          <w:rFonts w:ascii="Arial" w:eastAsia="Arial" w:hAnsi="Arial" w:cs="Arial"/>
        </w:rPr>
      </w:pPr>
      <w:r>
        <w:rPr>
          <w:rFonts w:ascii="Arial" w:eastAsia="Arial" w:hAnsi="Arial" w:cs="Arial"/>
        </w:rPr>
        <w:t>Wright, S.J., Kitajima, K., Kraft, N.J.B., Reich, P.B., Wright, I.J., Bunker, D.E., Condit, R., Dalling, J.W., Davies, S.J., (</w:t>
      </w:r>
      <w:r w:rsidR="009C37D1">
        <w:rPr>
          <w:rFonts w:ascii="Arial" w:eastAsia="Arial" w:hAnsi="Arial" w:cs="Arial"/>
        </w:rPr>
        <w:t>. . .</w:t>
      </w:r>
      <w:r>
        <w:rPr>
          <w:rFonts w:ascii="Arial" w:eastAsia="Arial" w:hAnsi="Arial" w:cs="Arial"/>
        </w:rPr>
        <w:t xml:space="preserve">) &amp; Zanne, A.E. 2010. Functional traits and the growth–mortality trade-off in tropical trees. Ecology 91: 3664–3674. </w:t>
      </w:r>
    </w:p>
    <w:p w14:paraId="512BB054" w14:textId="2870DE65" w:rsidR="00D8396D" w:rsidRDefault="00D474E6">
      <w:pPr>
        <w:spacing w:line="480" w:lineRule="auto"/>
        <w:ind w:left="142" w:hanging="142"/>
        <w:rPr>
          <w:rFonts w:ascii="Arial" w:eastAsia="Arial" w:hAnsi="Arial" w:cs="Arial"/>
        </w:rPr>
      </w:pPr>
      <w:r>
        <w:rPr>
          <w:rFonts w:ascii="Arial" w:eastAsia="Arial" w:hAnsi="Arial" w:cs="Arial"/>
        </w:rPr>
        <w:t xml:space="preserve">Wuethrich, B. 2007. Reconstructing Brazil’s </w:t>
      </w:r>
      <w:r w:rsidR="009C37D1">
        <w:rPr>
          <w:rFonts w:ascii="Arial" w:eastAsia="Arial" w:hAnsi="Arial" w:cs="Arial"/>
        </w:rPr>
        <w:t>A</w:t>
      </w:r>
      <w:r>
        <w:rPr>
          <w:rFonts w:ascii="Arial" w:eastAsia="Arial" w:hAnsi="Arial" w:cs="Arial"/>
        </w:rPr>
        <w:t xml:space="preserve">tlantic </w:t>
      </w:r>
      <w:r w:rsidR="00AE289F">
        <w:rPr>
          <w:rFonts w:ascii="Arial" w:eastAsia="Arial" w:hAnsi="Arial" w:cs="Arial"/>
        </w:rPr>
        <w:t>r</w:t>
      </w:r>
      <w:r>
        <w:rPr>
          <w:rFonts w:ascii="Arial" w:eastAsia="Arial" w:hAnsi="Arial" w:cs="Arial"/>
        </w:rPr>
        <w:t xml:space="preserve">ainforest. Science 315.5815: 1070–1072. </w:t>
      </w:r>
    </w:p>
    <w:p w14:paraId="14186707" w14:textId="77777777" w:rsidR="00D8396D" w:rsidRDefault="00D474E6">
      <w:pPr>
        <w:spacing w:line="480" w:lineRule="auto"/>
        <w:ind w:left="142" w:hanging="142"/>
        <w:rPr>
          <w:rFonts w:ascii="Arial" w:eastAsia="Arial" w:hAnsi="Arial" w:cs="Arial"/>
        </w:rPr>
      </w:pPr>
      <w:r>
        <w:rPr>
          <w:rFonts w:ascii="Arial" w:eastAsia="Arial" w:hAnsi="Arial" w:cs="Arial"/>
        </w:rPr>
        <w:t>Zahawi, R. A., Holl, K.D., Cole &amp; R.J. &amp; Reid, J.L. 2013. Testing applied nucleation as a strategy to facilitate tropical forest recovery. Journal of Applied Ecology 50: 88–96.</w:t>
      </w:r>
    </w:p>
    <w:p w14:paraId="07352939" w14:textId="285815D0" w:rsidR="00F47D41" w:rsidRPr="00660394" w:rsidRDefault="007B25D1" w:rsidP="00FD1303">
      <w:pPr>
        <w:pStyle w:val="Heading3"/>
        <w:spacing w:after="240"/>
        <w:rPr>
          <w:rFonts w:ascii="Arial" w:hAnsi="Arial" w:cs="Arial"/>
          <w:b/>
        </w:rPr>
      </w:pPr>
      <w:r w:rsidRPr="00660394">
        <w:rPr>
          <w:rFonts w:ascii="Arial" w:hAnsi="Arial" w:cs="Arial"/>
          <w:b/>
        </w:rPr>
        <w:t>Supporting information</w:t>
      </w:r>
    </w:p>
    <w:p w14:paraId="4CB7201F" w14:textId="47710252" w:rsidR="007B25D1" w:rsidRPr="00EC0AFC" w:rsidRDefault="007B25D1" w:rsidP="00FD1303">
      <w:pPr>
        <w:spacing w:after="0" w:line="360" w:lineRule="auto"/>
        <w:ind w:left="142" w:hanging="142"/>
        <w:rPr>
          <w:rFonts w:ascii="Arial" w:eastAsia="Arial" w:hAnsi="Arial" w:cs="Arial"/>
        </w:rPr>
      </w:pPr>
      <w:r w:rsidRPr="00EC0AFC">
        <w:rPr>
          <w:rFonts w:ascii="Arial" w:eastAsia="Arial" w:hAnsi="Arial" w:cs="Arial"/>
          <w:b/>
        </w:rPr>
        <w:t>Appendix S1</w:t>
      </w:r>
      <w:r w:rsidR="00506DBE" w:rsidRPr="00EC0AFC">
        <w:rPr>
          <w:rFonts w:ascii="Arial" w:eastAsia="Arial" w:hAnsi="Arial" w:cs="Arial"/>
          <w:b/>
        </w:rPr>
        <w:t>.</w:t>
      </w:r>
      <w:r w:rsidRPr="00EC0AFC">
        <w:rPr>
          <w:rFonts w:ascii="Arial" w:eastAsia="Arial" w:hAnsi="Arial" w:cs="Arial"/>
        </w:rPr>
        <w:t xml:space="preserve"> Species list and species grouping classification</w:t>
      </w:r>
    </w:p>
    <w:p w14:paraId="3A618BF5" w14:textId="4A770239" w:rsidR="007B25D1" w:rsidRPr="00EC0AFC" w:rsidRDefault="007B25D1" w:rsidP="00FD1303">
      <w:pPr>
        <w:spacing w:after="0" w:line="360" w:lineRule="auto"/>
        <w:ind w:left="142" w:hanging="142"/>
        <w:rPr>
          <w:rFonts w:ascii="Arial" w:eastAsia="Arial" w:hAnsi="Arial" w:cs="Arial"/>
        </w:rPr>
      </w:pPr>
      <w:r w:rsidRPr="00EC0AFC">
        <w:rPr>
          <w:rFonts w:ascii="Arial" w:eastAsia="Arial" w:hAnsi="Arial" w:cs="Arial"/>
          <w:b/>
        </w:rPr>
        <w:t>Appendix S2</w:t>
      </w:r>
      <w:r w:rsidR="00506DBE" w:rsidRPr="00EC0AFC">
        <w:rPr>
          <w:rFonts w:ascii="Arial" w:eastAsia="Arial" w:hAnsi="Arial" w:cs="Arial"/>
          <w:b/>
        </w:rPr>
        <w:t>.</w:t>
      </w:r>
      <w:r w:rsidRPr="00EC0AFC">
        <w:rPr>
          <w:rFonts w:ascii="Arial" w:eastAsia="Arial" w:hAnsi="Arial" w:cs="Arial"/>
        </w:rPr>
        <w:t xml:space="preserve"> Statistics of soil chemical variables within soil groups</w:t>
      </w:r>
    </w:p>
    <w:p w14:paraId="1D7B3398" w14:textId="45B30404" w:rsidR="00F47D41" w:rsidRPr="00660394" w:rsidRDefault="007B25D1" w:rsidP="00BE679C">
      <w:pPr>
        <w:spacing w:after="0" w:line="360" w:lineRule="auto"/>
        <w:ind w:left="142" w:hanging="142"/>
        <w:rPr>
          <w:rFonts w:ascii="Arial" w:hAnsi="Arial" w:cs="Arial"/>
        </w:rPr>
      </w:pPr>
      <w:r w:rsidRPr="00EC0AFC">
        <w:rPr>
          <w:rFonts w:ascii="Arial" w:eastAsia="Arial" w:hAnsi="Arial" w:cs="Arial"/>
          <w:b/>
        </w:rPr>
        <w:t>Appendix S3</w:t>
      </w:r>
      <w:r w:rsidR="00506DBE" w:rsidRPr="00EC0AFC">
        <w:rPr>
          <w:rFonts w:ascii="Arial" w:eastAsia="Arial" w:hAnsi="Arial" w:cs="Arial"/>
          <w:b/>
        </w:rPr>
        <w:t>.</w:t>
      </w:r>
      <w:r w:rsidRPr="00EC0AFC">
        <w:rPr>
          <w:rFonts w:ascii="Arial" w:eastAsia="Arial" w:hAnsi="Arial" w:cs="Arial"/>
        </w:rPr>
        <w:t xml:space="preserve"> Geographic information for surveyed restoration sites</w:t>
      </w:r>
    </w:p>
    <w:sectPr w:rsidR="00F47D41" w:rsidRPr="00660394" w:rsidSect="00DB721C">
      <w:headerReference w:type="default" r:id="rId11"/>
      <w:footerReference w:type="default" r:id="rId12"/>
      <w:pgSz w:w="11907" w:h="16839"/>
      <w:pgMar w:top="1440" w:right="1417" w:bottom="1440" w:left="1440" w:header="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B09118" w14:textId="77777777" w:rsidR="006D72A7" w:rsidRDefault="006D72A7">
      <w:pPr>
        <w:spacing w:after="0" w:line="240" w:lineRule="auto"/>
      </w:pPr>
      <w:r>
        <w:separator/>
      </w:r>
    </w:p>
  </w:endnote>
  <w:endnote w:type="continuationSeparator" w:id="0">
    <w:p w14:paraId="229AC8FA" w14:textId="77777777" w:rsidR="006D72A7" w:rsidRDefault="006D72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7753D" w14:textId="77777777" w:rsidR="00926811" w:rsidRDefault="00926811">
    <w:pPr>
      <w:widowControl/>
      <w:tabs>
        <w:tab w:val="center" w:pos="4252"/>
        <w:tab w:val="right" w:pos="8504"/>
      </w:tabs>
      <w:spacing w:after="0" w:line="240" w:lineRule="auto"/>
      <w:jc w:val="center"/>
    </w:pPr>
    <w:r>
      <w:fldChar w:fldCharType="begin"/>
    </w:r>
    <w:r>
      <w:instrText>PAGE</w:instrText>
    </w:r>
    <w:r>
      <w:fldChar w:fldCharType="separate"/>
    </w:r>
    <w:r w:rsidR="005B6BAF">
      <w:rPr>
        <w:noProof/>
      </w:rPr>
      <w:t>1</w:t>
    </w:r>
    <w:r>
      <w:fldChar w:fldCharType="end"/>
    </w:r>
  </w:p>
  <w:p w14:paraId="064986B8" w14:textId="77777777" w:rsidR="00926811" w:rsidRDefault="00926811">
    <w:pPr>
      <w:tabs>
        <w:tab w:val="center" w:pos="4252"/>
        <w:tab w:val="right" w:pos="8504"/>
      </w:tabs>
      <w:spacing w:after="144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A3D6E7" w14:textId="77777777" w:rsidR="006D72A7" w:rsidRDefault="006D72A7">
      <w:pPr>
        <w:spacing w:after="0" w:line="240" w:lineRule="auto"/>
      </w:pPr>
      <w:r>
        <w:separator/>
      </w:r>
    </w:p>
  </w:footnote>
  <w:footnote w:type="continuationSeparator" w:id="0">
    <w:p w14:paraId="3F4BA9CE" w14:textId="77777777" w:rsidR="006D72A7" w:rsidRDefault="006D72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2302E" w14:textId="77777777" w:rsidR="00926811" w:rsidRDefault="00926811">
    <w:pPr>
      <w:widowControl/>
      <w:tabs>
        <w:tab w:val="center" w:pos="4252"/>
        <w:tab w:val="right" w:pos="8504"/>
      </w:tabs>
      <w:spacing w:before="720" w:after="0" w:line="240"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96D"/>
    <w:rsid w:val="000521D6"/>
    <w:rsid w:val="0007703B"/>
    <w:rsid w:val="0008579B"/>
    <w:rsid w:val="0008774F"/>
    <w:rsid w:val="000D651E"/>
    <w:rsid w:val="000D71C8"/>
    <w:rsid w:val="00170E83"/>
    <w:rsid w:val="001819A6"/>
    <w:rsid w:val="001B2E1D"/>
    <w:rsid w:val="001C5041"/>
    <w:rsid w:val="001E00F1"/>
    <w:rsid w:val="001F6524"/>
    <w:rsid w:val="00212BC2"/>
    <w:rsid w:val="0021737E"/>
    <w:rsid w:val="00255B3B"/>
    <w:rsid w:val="00257FE7"/>
    <w:rsid w:val="002623AE"/>
    <w:rsid w:val="00274BBA"/>
    <w:rsid w:val="002A71DD"/>
    <w:rsid w:val="002E11AC"/>
    <w:rsid w:val="00345039"/>
    <w:rsid w:val="00386A5B"/>
    <w:rsid w:val="003A49F6"/>
    <w:rsid w:val="003B45E5"/>
    <w:rsid w:val="003E4401"/>
    <w:rsid w:val="00425682"/>
    <w:rsid w:val="00466AC5"/>
    <w:rsid w:val="00473DD7"/>
    <w:rsid w:val="00490A81"/>
    <w:rsid w:val="004D35F5"/>
    <w:rsid w:val="004E2252"/>
    <w:rsid w:val="004E35C9"/>
    <w:rsid w:val="004E65F5"/>
    <w:rsid w:val="004F09CC"/>
    <w:rsid w:val="00506DBE"/>
    <w:rsid w:val="00517FE7"/>
    <w:rsid w:val="005268CA"/>
    <w:rsid w:val="00541DF8"/>
    <w:rsid w:val="00545CFD"/>
    <w:rsid w:val="005512A6"/>
    <w:rsid w:val="00557FAC"/>
    <w:rsid w:val="005A311A"/>
    <w:rsid w:val="005B0873"/>
    <w:rsid w:val="005B6BAF"/>
    <w:rsid w:val="00603D50"/>
    <w:rsid w:val="00623A73"/>
    <w:rsid w:val="00660394"/>
    <w:rsid w:val="00660DB6"/>
    <w:rsid w:val="00667545"/>
    <w:rsid w:val="00675993"/>
    <w:rsid w:val="006A7225"/>
    <w:rsid w:val="006C1B42"/>
    <w:rsid w:val="006C7FB9"/>
    <w:rsid w:val="006D72A7"/>
    <w:rsid w:val="006E45F5"/>
    <w:rsid w:val="00710657"/>
    <w:rsid w:val="007233DD"/>
    <w:rsid w:val="00745154"/>
    <w:rsid w:val="007711E8"/>
    <w:rsid w:val="0079720A"/>
    <w:rsid w:val="007B25D1"/>
    <w:rsid w:val="007C2696"/>
    <w:rsid w:val="007E2E32"/>
    <w:rsid w:val="007F121C"/>
    <w:rsid w:val="008026BD"/>
    <w:rsid w:val="00861BCF"/>
    <w:rsid w:val="0087306A"/>
    <w:rsid w:val="008B0A22"/>
    <w:rsid w:val="008C0234"/>
    <w:rsid w:val="008D3038"/>
    <w:rsid w:val="008D75B2"/>
    <w:rsid w:val="008D75F0"/>
    <w:rsid w:val="00926811"/>
    <w:rsid w:val="009349E6"/>
    <w:rsid w:val="00965243"/>
    <w:rsid w:val="009768A5"/>
    <w:rsid w:val="009800E0"/>
    <w:rsid w:val="00990DA2"/>
    <w:rsid w:val="009B64BF"/>
    <w:rsid w:val="009C37D1"/>
    <w:rsid w:val="009E7EC3"/>
    <w:rsid w:val="00A04030"/>
    <w:rsid w:val="00A427F1"/>
    <w:rsid w:val="00AB240C"/>
    <w:rsid w:val="00AB2B6D"/>
    <w:rsid w:val="00AE289F"/>
    <w:rsid w:val="00AE70A9"/>
    <w:rsid w:val="00AF4DD7"/>
    <w:rsid w:val="00B2646B"/>
    <w:rsid w:val="00B30C8B"/>
    <w:rsid w:val="00B3259C"/>
    <w:rsid w:val="00B722EC"/>
    <w:rsid w:val="00BB5215"/>
    <w:rsid w:val="00BD4F8B"/>
    <w:rsid w:val="00BE679C"/>
    <w:rsid w:val="00C16031"/>
    <w:rsid w:val="00C3141A"/>
    <w:rsid w:val="00C52569"/>
    <w:rsid w:val="00CB615A"/>
    <w:rsid w:val="00CC7360"/>
    <w:rsid w:val="00D03744"/>
    <w:rsid w:val="00D05EDB"/>
    <w:rsid w:val="00D1670F"/>
    <w:rsid w:val="00D17242"/>
    <w:rsid w:val="00D1797A"/>
    <w:rsid w:val="00D41C68"/>
    <w:rsid w:val="00D474E6"/>
    <w:rsid w:val="00D63B7E"/>
    <w:rsid w:val="00D8396D"/>
    <w:rsid w:val="00DB721C"/>
    <w:rsid w:val="00DC3C35"/>
    <w:rsid w:val="00DC3F6B"/>
    <w:rsid w:val="00DE52A9"/>
    <w:rsid w:val="00E22E02"/>
    <w:rsid w:val="00E26C16"/>
    <w:rsid w:val="00E27196"/>
    <w:rsid w:val="00E27883"/>
    <w:rsid w:val="00E278A9"/>
    <w:rsid w:val="00E74D2C"/>
    <w:rsid w:val="00E86484"/>
    <w:rsid w:val="00EB0330"/>
    <w:rsid w:val="00EB5D2C"/>
    <w:rsid w:val="00EC03BC"/>
    <w:rsid w:val="00EC0AFC"/>
    <w:rsid w:val="00F07565"/>
    <w:rsid w:val="00F2598C"/>
    <w:rsid w:val="00F47D41"/>
    <w:rsid w:val="00F50F1B"/>
    <w:rsid w:val="00F95ED9"/>
    <w:rsid w:val="00FB12C6"/>
    <w:rsid w:val="00FD13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64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GB" w:eastAsia="en-GB" w:bidi="ar-SA"/>
      </w:rPr>
    </w:rPrDefault>
    <w:pPrDefault>
      <w:pPr>
        <w:widowControl w:val="0"/>
        <w:pBdr>
          <w:top w:val="nil"/>
          <w:left w:val="nil"/>
          <w:bottom w:val="nil"/>
          <w:right w:val="nil"/>
          <w:between w:val="nil"/>
        </w:pBdr>
        <w:spacing w:after="160" w:line="252"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320" w:after="40"/>
      <w:outlineLvl w:val="0"/>
    </w:pPr>
    <w:rPr>
      <w:b/>
      <w:smallCaps/>
      <w:sz w:val="28"/>
      <w:szCs w:val="28"/>
    </w:rPr>
  </w:style>
  <w:style w:type="paragraph" w:styleId="Heading2">
    <w:name w:val="heading 2"/>
    <w:basedOn w:val="Normal"/>
    <w:next w:val="Normal"/>
    <w:pPr>
      <w:keepNext/>
      <w:keepLines/>
      <w:spacing w:before="120" w:after="0"/>
      <w:outlineLvl w:val="1"/>
    </w:pPr>
    <w:rPr>
      <w:b/>
      <w:sz w:val="28"/>
      <w:szCs w:val="28"/>
    </w:rPr>
  </w:style>
  <w:style w:type="paragraph" w:styleId="Heading3">
    <w:name w:val="heading 3"/>
    <w:basedOn w:val="Normal"/>
    <w:next w:val="Normal"/>
    <w:pPr>
      <w:keepNext/>
      <w:keepLines/>
      <w:spacing w:before="120" w:after="0"/>
      <w:outlineLvl w:val="2"/>
    </w:pPr>
    <w:rPr>
      <w:sz w:val="24"/>
      <w:szCs w:val="24"/>
    </w:rPr>
  </w:style>
  <w:style w:type="paragraph" w:styleId="Heading4">
    <w:name w:val="heading 4"/>
    <w:basedOn w:val="Normal"/>
    <w:next w:val="Normal"/>
    <w:pPr>
      <w:keepNext/>
      <w:keepLines/>
      <w:spacing w:before="120" w:after="0"/>
      <w:outlineLvl w:val="3"/>
    </w:pPr>
    <w:rPr>
      <w:i/>
      <w:sz w:val="24"/>
      <w:szCs w:val="24"/>
    </w:rPr>
  </w:style>
  <w:style w:type="paragraph" w:styleId="Heading5">
    <w:name w:val="heading 5"/>
    <w:basedOn w:val="Normal"/>
    <w:next w:val="Normal"/>
    <w:pPr>
      <w:keepNext/>
      <w:keepLines/>
      <w:spacing w:before="120" w:after="0"/>
      <w:outlineLvl w:val="4"/>
    </w:pPr>
    <w:rPr>
      <w:b/>
    </w:rPr>
  </w:style>
  <w:style w:type="paragraph" w:styleId="Heading6">
    <w:name w:val="heading 6"/>
    <w:basedOn w:val="Normal"/>
    <w:next w:val="Normal"/>
    <w:pPr>
      <w:keepNext/>
      <w:keepLines/>
      <w:spacing w:before="120" w:after="0"/>
      <w:outlineLvl w:val="5"/>
    </w:pPr>
    <w:rPr>
      <w:b/>
      <w:i/>
    </w:rPr>
  </w:style>
  <w:style w:type="paragraph" w:styleId="Heading7">
    <w:name w:val="heading 7"/>
    <w:basedOn w:val="Normal"/>
    <w:next w:val="Normal"/>
    <w:link w:val="Heading7Char"/>
    <w:uiPriority w:val="9"/>
    <w:unhideWhenUsed/>
    <w:qFormat/>
    <w:rsid w:val="00506DBE"/>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spacing w:after="0" w:line="240" w:lineRule="auto"/>
      <w:jc w:val="center"/>
    </w:pPr>
    <w:rPr>
      <w:b/>
      <w:sz w:val="48"/>
      <w:szCs w:val="48"/>
    </w:rPr>
  </w:style>
  <w:style w:type="paragraph" w:styleId="Subtitle">
    <w:name w:val="Subtitle"/>
    <w:basedOn w:val="Normal"/>
    <w:next w:val="Normal"/>
    <w:pPr>
      <w:spacing w:after="240"/>
      <w:jc w:val="center"/>
    </w:pPr>
    <w:rPr>
      <w:sz w:val="24"/>
      <w:szCs w:val="24"/>
    </w:rPr>
  </w:style>
  <w:style w:type="character" w:styleId="LineNumber">
    <w:name w:val="line number"/>
    <w:basedOn w:val="DefaultParagraphFont"/>
    <w:uiPriority w:val="99"/>
    <w:semiHidden/>
    <w:unhideWhenUsed/>
    <w:rsid w:val="00517FE7"/>
  </w:style>
  <w:style w:type="paragraph" w:styleId="BalloonText">
    <w:name w:val="Balloon Text"/>
    <w:basedOn w:val="Normal"/>
    <w:link w:val="BalloonTextChar"/>
    <w:uiPriority w:val="99"/>
    <w:semiHidden/>
    <w:unhideWhenUsed/>
    <w:rsid w:val="00DC3F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3F6B"/>
    <w:rPr>
      <w:rFonts w:ascii="Segoe UI" w:hAnsi="Segoe UI" w:cs="Segoe UI"/>
      <w:sz w:val="18"/>
      <w:szCs w:val="18"/>
    </w:rPr>
  </w:style>
  <w:style w:type="character" w:styleId="CommentReference">
    <w:name w:val="annotation reference"/>
    <w:basedOn w:val="DefaultParagraphFont"/>
    <w:uiPriority w:val="99"/>
    <w:semiHidden/>
    <w:unhideWhenUsed/>
    <w:rsid w:val="00DC3F6B"/>
    <w:rPr>
      <w:sz w:val="16"/>
      <w:szCs w:val="16"/>
    </w:rPr>
  </w:style>
  <w:style w:type="paragraph" w:styleId="CommentText">
    <w:name w:val="annotation text"/>
    <w:basedOn w:val="Normal"/>
    <w:link w:val="CommentTextChar"/>
    <w:uiPriority w:val="99"/>
    <w:unhideWhenUsed/>
    <w:rsid w:val="00DC3F6B"/>
    <w:pPr>
      <w:spacing w:line="240" w:lineRule="auto"/>
    </w:pPr>
    <w:rPr>
      <w:sz w:val="20"/>
      <w:szCs w:val="20"/>
    </w:rPr>
  </w:style>
  <w:style w:type="character" w:customStyle="1" w:styleId="CommentTextChar">
    <w:name w:val="Comment Text Char"/>
    <w:basedOn w:val="DefaultParagraphFont"/>
    <w:link w:val="CommentText"/>
    <w:uiPriority w:val="99"/>
    <w:rsid w:val="00DC3F6B"/>
    <w:rPr>
      <w:sz w:val="20"/>
      <w:szCs w:val="20"/>
    </w:rPr>
  </w:style>
  <w:style w:type="paragraph" w:styleId="CommentSubject">
    <w:name w:val="annotation subject"/>
    <w:basedOn w:val="CommentText"/>
    <w:next w:val="CommentText"/>
    <w:link w:val="CommentSubjectChar"/>
    <w:uiPriority w:val="99"/>
    <w:semiHidden/>
    <w:unhideWhenUsed/>
    <w:rsid w:val="00DC3F6B"/>
    <w:rPr>
      <w:b/>
      <w:bCs/>
    </w:rPr>
  </w:style>
  <w:style w:type="character" w:customStyle="1" w:styleId="CommentSubjectChar">
    <w:name w:val="Comment Subject Char"/>
    <w:basedOn w:val="CommentTextChar"/>
    <w:link w:val="CommentSubject"/>
    <w:uiPriority w:val="99"/>
    <w:semiHidden/>
    <w:rsid w:val="00DC3F6B"/>
    <w:rPr>
      <w:b/>
      <w:bCs/>
      <w:sz w:val="20"/>
      <w:szCs w:val="20"/>
    </w:rPr>
  </w:style>
  <w:style w:type="character" w:customStyle="1" w:styleId="Heading7Char">
    <w:name w:val="Heading 7 Char"/>
    <w:basedOn w:val="DefaultParagraphFont"/>
    <w:link w:val="Heading7"/>
    <w:uiPriority w:val="9"/>
    <w:rsid w:val="00506DBE"/>
    <w:rPr>
      <w:rFonts w:asciiTheme="majorHAnsi" w:eastAsiaTheme="majorEastAsia" w:hAnsiTheme="majorHAnsi" w:cstheme="majorBidi"/>
      <w:i/>
      <w:iCs/>
      <w:color w:val="1F4D78" w:themeColor="accent1" w:themeShade="7F"/>
    </w:rPr>
  </w:style>
  <w:style w:type="paragraph" w:styleId="Header">
    <w:name w:val="header"/>
    <w:basedOn w:val="Normal"/>
    <w:link w:val="HeaderChar"/>
    <w:uiPriority w:val="99"/>
    <w:unhideWhenUsed/>
    <w:rsid w:val="008026BD"/>
    <w:pPr>
      <w:tabs>
        <w:tab w:val="center" w:pos="4252"/>
        <w:tab w:val="right" w:pos="8504"/>
      </w:tabs>
      <w:spacing w:after="0" w:line="240" w:lineRule="auto"/>
    </w:pPr>
  </w:style>
  <w:style w:type="character" w:customStyle="1" w:styleId="HeaderChar">
    <w:name w:val="Header Char"/>
    <w:basedOn w:val="DefaultParagraphFont"/>
    <w:link w:val="Header"/>
    <w:uiPriority w:val="99"/>
    <w:rsid w:val="008026BD"/>
  </w:style>
  <w:style w:type="paragraph" w:styleId="Footer">
    <w:name w:val="footer"/>
    <w:basedOn w:val="Normal"/>
    <w:link w:val="FooterChar"/>
    <w:uiPriority w:val="99"/>
    <w:unhideWhenUsed/>
    <w:rsid w:val="008026BD"/>
    <w:pPr>
      <w:tabs>
        <w:tab w:val="center" w:pos="4252"/>
        <w:tab w:val="right" w:pos="8504"/>
      </w:tabs>
      <w:spacing w:after="0" w:line="240" w:lineRule="auto"/>
    </w:pPr>
  </w:style>
  <w:style w:type="character" w:customStyle="1" w:styleId="FooterChar">
    <w:name w:val="Footer Char"/>
    <w:basedOn w:val="DefaultParagraphFont"/>
    <w:link w:val="Footer"/>
    <w:uiPriority w:val="99"/>
    <w:rsid w:val="008026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GB" w:eastAsia="en-GB" w:bidi="ar-SA"/>
      </w:rPr>
    </w:rPrDefault>
    <w:pPrDefault>
      <w:pPr>
        <w:widowControl w:val="0"/>
        <w:pBdr>
          <w:top w:val="nil"/>
          <w:left w:val="nil"/>
          <w:bottom w:val="nil"/>
          <w:right w:val="nil"/>
          <w:between w:val="nil"/>
        </w:pBdr>
        <w:spacing w:after="160" w:line="252"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320" w:after="40"/>
      <w:outlineLvl w:val="0"/>
    </w:pPr>
    <w:rPr>
      <w:b/>
      <w:smallCaps/>
      <w:sz w:val="28"/>
      <w:szCs w:val="28"/>
    </w:rPr>
  </w:style>
  <w:style w:type="paragraph" w:styleId="Heading2">
    <w:name w:val="heading 2"/>
    <w:basedOn w:val="Normal"/>
    <w:next w:val="Normal"/>
    <w:pPr>
      <w:keepNext/>
      <w:keepLines/>
      <w:spacing w:before="120" w:after="0"/>
      <w:outlineLvl w:val="1"/>
    </w:pPr>
    <w:rPr>
      <w:b/>
      <w:sz w:val="28"/>
      <w:szCs w:val="28"/>
    </w:rPr>
  </w:style>
  <w:style w:type="paragraph" w:styleId="Heading3">
    <w:name w:val="heading 3"/>
    <w:basedOn w:val="Normal"/>
    <w:next w:val="Normal"/>
    <w:pPr>
      <w:keepNext/>
      <w:keepLines/>
      <w:spacing w:before="120" w:after="0"/>
      <w:outlineLvl w:val="2"/>
    </w:pPr>
    <w:rPr>
      <w:sz w:val="24"/>
      <w:szCs w:val="24"/>
    </w:rPr>
  </w:style>
  <w:style w:type="paragraph" w:styleId="Heading4">
    <w:name w:val="heading 4"/>
    <w:basedOn w:val="Normal"/>
    <w:next w:val="Normal"/>
    <w:pPr>
      <w:keepNext/>
      <w:keepLines/>
      <w:spacing w:before="120" w:after="0"/>
      <w:outlineLvl w:val="3"/>
    </w:pPr>
    <w:rPr>
      <w:i/>
      <w:sz w:val="24"/>
      <w:szCs w:val="24"/>
    </w:rPr>
  </w:style>
  <w:style w:type="paragraph" w:styleId="Heading5">
    <w:name w:val="heading 5"/>
    <w:basedOn w:val="Normal"/>
    <w:next w:val="Normal"/>
    <w:pPr>
      <w:keepNext/>
      <w:keepLines/>
      <w:spacing w:before="120" w:after="0"/>
      <w:outlineLvl w:val="4"/>
    </w:pPr>
    <w:rPr>
      <w:b/>
    </w:rPr>
  </w:style>
  <w:style w:type="paragraph" w:styleId="Heading6">
    <w:name w:val="heading 6"/>
    <w:basedOn w:val="Normal"/>
    <w:next w:val="Normal"/>
    <w:pPr>
      <w:keepNext/>
      <w:keepLines/>
      <w:spacing w:before="120" w:after="0"/>
      <w:outlineLvl w:val="5"/>
    </w:pPr>
    <w:rPr>
      <w:b/>
      <w:i/>
    </w:rPr>
  </w:style>
  <w:style w:type="paragraph" w:styleId="Heading7">
    <w:name w:val="heading 7"/>
    <w:basedOn w:val="Normal"/>
    <w:next w:val="Normal"/>
    <w:link w:val="Heading7Char"/>
    <w:uiPriority w:val="9"/>
    <w:unhideWhenUsed/>
    <w:qFormat/>
    <w:rsid w:val="00506DBE"/>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spacing w:after="0" w:line="240" w:lineRule="auto"/>
      <w:jc w:val="center"/>
    </w:pPr>
    <w:rPr>
      <w:b/>
      <w:sz w:val="48"/>
      <w:szCs w:val="48"/>
    </w:rPr>
  </w:style>
  <w:style w:type="paragraph" w:styleId="Subtitle">
    <w:name w:val="Subtitle"/>
    <w:basedOn w:val="Normal"/>
    <w:next w:val="Normal"/>
    <w:pPr>
      <w:spacing w:after="240"/>
      <w:jc w:val="center"/>
    </w:pPr>
    <w:rPr>
      <w:sz w:val="24"/>
      <w:szCs w:val="24"/>
    </w:rPr>
  </w:style>
  <w:style w:type="character" w:styleId="LineNumber">
    <w:name w:val="line number"/>
    <w:basedOn w:val="DefaultParagraphFont"/>
    <w:uiPriority w:val="99"/>
    <w:semiHidden/>
    <w:unhideWhenUsed/>
    <w:rsid w:val="00517FE7"/>
  </w:style>
  <w:style w:type="paragraph" w:styleId="BalloonText">
    <w:name w:val="Balloon Text"/>
    <w:basedOn w:val="Normal"/>
    <w:link w:val="BalloonTextChar"/>
    <w:uiPriority w:val="99"/>
    <w:semiHidden/>
    <w:unhideWhenUsed/>
    <w:rsid w:val="00DC3F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3F6B"/>
    <w:rPr>
      <w:rFonts w:ascii="Segoe UI" w:hAnsi="Segoe UI" w:cs="Segoe UI"/>
      <w:sz w:val="18"/>
      <w:szCs w:val="18"/>
    </w:rPr>
  </w:style>
  <w:style w:type="character" w:styleId="CommentReference">
    <w:name w:val="annotation reference"/>
    <w:basedOn w:val="DefaultParagraphFont"/>
    <w:uiPriority w:val="99"/>
    <w:semiHidden/>
    <w:unhideWhenUsed/>
    <w:rsid w:val="00DC3F6B"/>
    <w:rPr>
      <w:sz w:val="16"/>
      <w:szCs w:val="16"/>
    </w:rPr>
  </w:style>
  <w:style w:type="paragraph" w:styleId="CommentText">
    <w:name w:val="annotation text"/>
    <w:basedOn w:val="Normal"/>
    <w:link w:val="CommentTextChar"/>
    <w:uiPriority w:val="99"/>
    <w:unhideWhenUsed/>
    <w:rsid w:val="00DC3F6B"/>
    <w:pPr>
      <w:spacing w:line="240" w:lineRule="auto"/>
    </w:pPr>
    <w:rPr>
      <w:sz w:val="20"/>
      <w:szCs w:val="20"/>
    </w:rPr>
  </w:style>
  <w:style w:type="character" w:customStyle="1" w:styleId="CommentTextChar">
    <w:name w:val="Comment Text Char"/>
    <w:basedOn w:val="DefaultParagraphFont"/>
    <w:link w:val="CommentText"/>
    <w:uiPriority w:val="99"/>
    <w:rsid w:val="00DC3F6B"/>
    <w:rPr>
      <w:sz w:val="20"/>
      <w:szCs w:val="20"/>
    </w:rPr>
  </w:style>
  <w:style w:type="paragraph" w:styleId="CommentSubject">
    <w:name w:val="annotation subject"/>
    <w:basedOn w:val="CommentText"/>
    <w:next w:val="CommentText"/>
    <w:link w:val="CommentSubjectChar"/>
    <w:uiPriority w:val="99"/>
    <w:semiHidden/>
    <w:unhideWhenUsed/>
    <w:rsid w:val="00DC3F6B"/>
    <w:rPr>
      <w:b/>
      <w:bCs/>
    </w:rPr>
  </w:style>
  <w:style w:type="character" w:customStyle="1" w:styleId="CommentSubjectChar">
    <w:name w:val="Comment Subject Char"/>
    <w:basedOn w:val="CommentTextChar"/>
    <w:link w:val="CommentSubject"/>
    <w:uiPriority w:val="99"/>
    <w:semiHidden/>
    <w:rsid w:val="00DC3F6B"/>
    <w:rPr>
      <w:b/>
      <w:bCs/>
      <w:sz w:val="20"/>
      <w:szCs w:val="20"/>
    </w:rPr>
  </w:style>
  <w:style w:type="character" w:customStyle="1" w:styleId="Heading7Char">
    <w:name w:val="Heading 7 Char"/>
    <w:basedOn w:val="DefaultParagraphFont"/>
    <w:link w:val="Heading7"/>
    <w:uiPriority w:val="9"/>
    <w:rsid w:val="00506DBE"/>
    <w:rPr>
      <w:rFonts w:asciiTheme="majorHAnsi" w:eastAsiaTheme="majorEastAsia" w:hAnsiTheme="majorHAnsi" w:cstheme="majorBidi"/>
      <w:i/>
      <w:iCs/>
      <w:color w:val="1F4D78" w:themeColor="accent1" w:themeShade="7F"/>
    </w:rPr>
  </w:style>
  <w:style w:type="paragraph" w:styleId="Header">
    <w:name w:val="header"/>
    <w:basedOn w:val="Normal"/>
    <w:link w:val="HeaderChar"/>
    <w:uiPriority w:val="99"/>
    <w:unhideWhenUsed/>
    <w:rsid w:val="008026BD"/>
    <w:pPr>
      <w:tabs>
        <w:tab w:val="center" w:pos="4252"/>
        <w:tab w:val="right" w:pos="8504"/>
      </w:tabs>
      <w:spacing w:after="0" w:line="240" w:lineRule="auto"/>
    </w:pPr>
  </w:style>
  <w:style w:type="character" w:customStyle="1" w:styleId="HeaderChar">
    <w:name w:val="Header Char"/>
    <w:basedOn w:val="DefaultParagraphFont"/>
    <w:link w:val="Header"/>
    <w:uiPriority w:val="99"/>
    <w:rsid w:val="008026BD"/>
  </w:style>
  <w:style w:type="paragraph" w:styleId="Footer">
    <w:name w:val="footer"/>
    <w:basedOn w:val="Normal"/>
    <w:link w:val="FooterChar"/>
    <w:uiPriority w:val="99"/>
    <w:unhideWhenUsed/>
    <w:rsid w:val="008026BD"/>
    <w:pPr>
      <w:tabs>
        <w:tab w:val="center" w:pos="4252"/>
        <w:tab w:val="right" w:pos="8504"/>
      </w:tabs>
      <w:spacing w:after="0" w:line="240" w:lineRule="auto"/>
    </w:pPr>
  </w:style>
  <w:style w:type="character" w:customStyle="1" w:styleId="FooterChar">
    <w:name w:val="Footer Char"/>
    <w:basedOn w:val="DefaultParagraphFont"/>
    <w:link w:val="Footer"/>
    <w:uiPriority w:val="99"/>
    <w:rsid w:val="008026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463528">
      <w:bodyDiv w:val="1"/>
      <w:marLeft w:val="0"/>
      <w:marRight w:val="0"/>
      <w:marTop w:val="0"/>
      <w:marBottom w:val="0"/>
      <w:divBdr>
        <w:top w:val="none" w:sz="0" w:space="0" w:color="auto"/>
        <w:left w:val="none" w:sz="0" w:space="0" w:color="auto"/>
        <w:bottom w:val="none" w:sz="0" w:space="0" w:color="auto"/>
        <w:right w:val="none" w:sz="0" w:space="0" w:color="auto"/>
      </w:divBdr>
    </w:div>
    <w:div w:id="739449157">
      <w:bodyDiv w:val="1"/>
      <w:marLeft w:val="0"/>
      <w:marRight w:val="0"/>
      <w:marTop w:val="0"/>
      <w:marBottom w:val="0"/>
      <w:divBdr>
        <w:top w:val="none" w:sz="0" w:space="0" w:color="auto"/>
        <w:left w:val="none" w:sz="0" w:space="0" w:color="auto"/>
        <w:bottom w:val="none" w:sz="0" w:space="0" w:color="auto"/>
        <w:right w:val="none" w:sz="0" w:space="0" w:color="auto"/>
      </w:divBdr>
    </w:div>
    <w:div w:id="10910012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B3724-DEDB-4E09-8F4E-41764EB8E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8365</Words>
  <Characters>47682</Characters>
  <Application>Microsoft Office Word</Application>
  <DocSecurity>4</DocSecurity>
  <Lines>397</Lines>
  <Paragraphs>111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The University of Western Australia</Company>
  <LinksUpToDate>false</LinksUpToDate>
  <CharactersWithSpaces>55936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RMT</dc:creator>
  <cp:lastModifiedBy>Monique Fountain</cp:lastModifiedBy>
  <cp:revision>2</cp:revision>
  <dcterms:created xsi:type="dcterms:W3CDTF">2018-04-06T01:33:00Z</dcterms:created>
  <dcterms:modified xsi:type="dcterms:W3CDTF">2018-04-06T01:33:00Z</dcterms:modified>
</cp:coreProperties>
</file>